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B4828" w14:textId="1C0F0A19" w:rsidR="00CA5BF5" w:rsidRDefault="00B41218" w:rsidP="00CA5BF5">
      <w:pPr>
        <w:pStyle w:val="F2-zkladn"/>
        <w:spacing w:line="276" w:lineRule="auto"/>
        <w:rPr>
          <w:b/>
          <w:sz w:val="28"/>
          <w:szCs w:val="28"/>
        </w:rPr>
      </w:pPr>
      <w:r>
        <w:rPr>
          <w:b/>
          <w:sz w:val="28"/>
          <w:szCs w:val="28"/>
        </w:rPr>
        <w:t>ANALÝZA</w:t>
      </w:r>
    </w:p>
    <w:p w14:paraId="43BBD92F" w14:textId="0BEC0CA0" w:rsidR="000C727D" w:rsidRPr="00CA5BF5" w:rsidRDefault="00DE3946" w:rsidP="00CA5BF5">
      <w:pPr>
        <w:pStyle w:val="F2-zkladn"/>
        <w:spacing w:line="276" w:lineRule="auto"/>
        <w:jc w:val="right"/>
        <w:rPr>
          <w:b/>
          <w:sz w:val="28"/>
          <w:szCs w:val="28"/>
        </w:rPr>
      </w:pPr>
      <w:r w:rsidRPr="00455A3C">
        <w:tab/>
      </w:r>
      <w:r w:rsidRPr="00893890">
        <w:t>Praha,</w:t>
      </w:r>
      <w:r w:rsidR="00883B41">
        <w:t xml:space="preserve"> </w:t>
      </w:r>
      <w:r w:rsidR="00317BF7">
        <w:t>2</w:t>
      </w:r>
      <w:r w:rsidR="00B41218">
        <w:t>9</w:t>
      </w:r>
      <w:r w:rsidR="005420B4" w:rsidRPr="00893890">
        <w:t>.</w:t>
      </w:r>
      <w:r w:rsidR="00296EFF">
        <w:t xml:space="preserve"> </w:t>
      </w:r>
      <w:r w:rsidR="00F60E69">
        <w:t>srpna</w:t>
      </w:r>
      <w:r w:rsidR="00EB4F26">
        <w:t xml:space="preserve"> </w:t>
      </w:r>
      <w:r w:rsidR="00A30105" w:rsidRPr="00893890">
        <w:t>20</w:t>
      </w:r>
      <w:r w:rsidR="00A7414F" w:rsidRPr="00893890">
        <w:t>2</w:t>
      </w:r>
      <w:r w:rsidR="006E5C5D">
        <w:t>5</w:t>
      </w:r>
    </w:p>
    <w:p w14:paraId="1887B1D3" w14:textId="77777777" w:rsidR="002027ED" w:rsidRPr="002027ED" w:rsidRDefault="002027ED" w:rsidP="002027ED">
      <w:pPr>
        <w:pStyle w:val="F2-zkladn"/>
        <w:tabs>
          <w:tab w:val="right" w:pos="9070"/>
        </w:tabs>
        <w:spacing w:line="276" w:lineRule="auto"/>
      </w:pPr>
    </w:p>
    <w:p w14:paraId="28BDA5A6" w14:textId="38B51EEE" w:rsidR="00E01FF7" w:rsidRPr="00E01FF7" w:rsidRDefault="003C537A" w:rsidP="00E01FF7">
      <w:pPr>
        <w:pStyle w:val="paragraph"/>
        <w:spacing w:before="0" w:after="0" w:line="276" w:lineRule="auto"/>
        <w:textAlignment w:val="baseline"/>
        <w:rPr>
          <w:rStyle w:val="normaltextrun"/>
          <w:rFonts w:ascii="Arial" w:hAnsi="Arial" w:cs="Arial"/>
          <w:b/>
          <w:bCs/>
          <w:lang w:val="cs-CZ"/>
        </w:rPr>
      </w:pPr>
      <w:proofErr w:type="spellStart"/>
      <w:r>
        <w:rPr>
          <w:rStyle w:val="normaltextrun"/>
          <w:rFonts w:ascii="Arial" w:hAnsi="Arial" w:cs="Arial"/>
          <w:b/>
          <w:bCs/>
          <w:color w:val="000000"/>
          <w:sz w:val="28"/>
          <w:szCs w:val="28"/>
          <w:lang w:val="cs-CZ"/>
        </w:rPr>
        <w:t>Fidelity</w:t>
      </w:r>
      <w:proofErr w:type="spellEnd"/>
      <w:r>
        <w:rPr>
          <w:rStyle w:val="normaltextrun"/>
          <w:rFonts w:ascii="Arial" w:hAnsi="Arial" w:cs="Arial"/>
          <w:b/>
          <w:bCs/>
          <w:color w:val="000000"/>
          <w:sz w:val="28"/>
          <w:szCs w:val="28"/>
          <w:lang w:val="cs-CZ"/>
        </w:rPr>
        <w:t xml:space="preserve"> International: </w:t>
      </w:r>
      <w:r w:rsidR="00B41218">
        <w:rPr>
          <w:rStyle w:val="normaltextrun"/>
          <w:rFonts w:ascii="Arial" w:hAnsi="Arial" w:cs="Arial"/>
          <w:b/>
          <w:bCs/>
          <w:color w:val="000000"/>
          <w:sz w:val="28"/>
          <w:szCs w:val="28"/>
          <w:lang w:val="cs-CZ"/>
        </w:rPr>
        <w:t>Diverzifikační strategie pro každ</w:t>
      </w:r>
      <w:r w:rsidR="0097729B">
        <w:rPr>
          <w:rStyle w:val="normaltextrun"/>
          <w:rFonts w:ascii="Arial" w:hAnsi="Arial" w:cs="Arial"/>
          <w:b/>
          <w:bCs/>
          <w:color w:val="000000"/>
          <w:sz w:val="28"/>
          <w:szCs w:val="28"/>
          <w:lang w:val="cs-CZ"/>
        </w:rPr>
        <w:t>ou situaci</w:t>
      </w:r>
    </w:p>
    <w:p w14:paraId="0E889B6A" w14:textId="4BA8C1E3" w:rsidR="003C537A" w:rsidRDefault="0097729B" w:rsidP="00D8553D">
      <w:pPr>
        <w:pStyle w:val="F2-zkladn"/>
        <w:rPr>
          <w:rFonts w:asciiTheme="minorHAnsi" w:hAnsiTheme="minorHAnsi" w:cstheme="minorHAnsi"/>
          <w:b/>
          <w:bCs/>
          <w:sz w:val="24"/>
          <w:szCs w:val="24"/>
        </w:rPr>
      </w:pPr>
      <w:r>
        <w:rPr>
          <w:rFonts w:asciiTheme="minorHAnsi" w:hAnsiTheme="minorHAnsi" w:cstheme="minorHAnsi"/>
          <w:b/>
          <w:bCs/>
          <w:sz w:val="24"/>
          <w:szCs w:val="24"/>
        </w:rPr>
        <w:t>P</w:t>
      </w:r>
      <w:r w:rsidR="00B41218">
        <w:rPr>
          <w:rFonts w:asciiTheme="minorHAnsi" w:hAnsiTheme="minorHAnsi" w:cstheme="minorHAnsi"/>
          <w:b/>
          <w:bCs/>
          <w:sz w:val="24"/>
          <w:szCs w:val="24"/>
        </w:rPr>
        <w:t xml:space="preserve">řístup </w:t>
      </w:r>
      <w:proofErr w:type="spellStart"/>
      <w:r>
        <w:rPr>
          <w:rFonts w:asciiTheme="minorHAnsi" w:hAnsiTheme="minorHAnsi" w:cstheme="minorHAnsi"/>
          <w:b/>
          <w:bCs/>
          <w:sz w:val="24"/>
          <w:szCs w:val="24"/>
        </w:rPr>
        <w:t>Fidelity</w:t>
      </w:r>
      <w:proofErr w:type="spellEnd"/>
      <w:r>
        <w:rPr>
          <w:rFonts w:asciiTheme="minorHAnsi" w:hAnsiTheme="minorHAnsi" w:cstheme="minorHAnsi"/>
          <w:b/>
          <w:bCs/>
          <w:sz w:val="24"/>
          <w:szCs w:val="24"/>
        </w:rPr>
        <w:t xml:space="preserve"> International </w:t>
      </w:r>
      <w:r w:rsidR="00B41218">
        <w:rPr>
          <w:rFonts w:asciiTheme="minorHAnsi" w:hAnsiTheme="minorHAnsi" w:cstheme="minorHAnsi"/>
          <w:b/>
          <w:bCs/>
          <w:sz w:val="24"/>
          <w:szCs w:val="24"/>
        </w:rPr>
        <w:t xml:space="preserve">k investování s absolutním výnosem na globálních akciových trzích se snaží dosáhnout atraktivních výsledků portfolia za jakýchkoliv tržních podmínek. </w:t>
      </w:r>
    </w:p>
    <w:p w14:paraId="29BED746" w14:textId="468B00A9" w:rsidR="004C6D56" w:rsidRPr="004C6D56" w:rsidRDefault="00B41218" w:rsidP="004C6D56">
      <w:pPr>
        <w:pStyle w:val="Odstavecseseznamem"/>
        <w:numPr>
          <w:ilvl w:val="0"/>
          <w:numId w:val="48"/>
        </w:numPr>
      </w:pPr>
      <w:r>
        <w:t>Tržně neutrální strategie využívají výzkum řízený zdola nahoru k dosažení výnosů, které jsou nezávislé na obecnějších pohybech na trhu. Jedná se tedy o atraktivní diverzifikační strategie vhodné za jakýchkoliv tržních podmínek.</w:t>
      </w:r>
    </w:p>
    <w:p w14:paraId="195560E3" w14:textId="5614D243" w:rsidR="001D441A" w:rsidRPr="001D441A" w:rsidRDefault="00B41218" w:rsidP="004C6D56">
      <w:pPr>
        <w:pStyle w:val="Odstavecseseznamem"/>
        <w:numPr>
          <w:ilvl w:val="0"/>
          <w:numId w:val="48"/>
        </w:numPr>
      </w:pPr>
      <w:r>
        <w:t>Fond FF-</w:t>
      </w:r>
      <w:proofErr w:type="spellStart"/>
      <w:r>
        <w:t>Absolute</w:t>
      </w:r>
      <w:proofErr w:type="spellEnd"/>
      <w:r>
        <w:t xml:space="preserve"> Return </w:t>
      </w:r>
      <w:proofErr w:type="spellStart"/>
      <w:r>
        <w:t>Global</w:t>
      </w:r>
      <w:proofErr w:type="spellEnd"/>
      <w:r>
        <w:t xml:space="preserve"> </w:t>
      </w:r>
      <w:proofErr w:type="spellStart"/>
      <w:r>
        <w:t>Equity</w:t>
      </w:r>
      <w:proofErr w:type="spellEnd"/>
      <w:r>
        <w:t xml:space="preserve"> </w:t>
      </w:r>
      <w:proofErr w:type="spellStart"/>
      <w:r>
        <w:t>Fund</w:t>
      </w:r>
      <w:proofErr w:type="spellEnd"/>
      <w:r>
        <w:t xml:space="preserve"> je navržen tak, aby přinášel výnosy založené především na výběru akcií řízeném zdola nahoru. Jde tedy o čisté vyjádření vlastního výzkumu společnosti </w:t>
      </w:r>
      <w:proofErr w:type="spellStart"/>
      <w:r>
        <w:t>Fidelity</w:t>
      </w:r>
      <w:proofErr w:type="spellEnd"/>
      <w:r>
        <w:t xml:space="preserve">. </w:t>
      </w:r>
    </w:p>
    <w:p w14:paraId="7B72B0BD" w14:textId="293DC234" w:rsidR="004C6D56" w:rsidRDefault="00B41218" w:rsidP="004C6D56">
      <w:pPr>
        <w:pStyle w:val="Odstavecseseznamem"/>
        <w:numPr>
          <w:ilvl w:val="0"/>
          <w:numId w:val="48"/>
        </w:numPr>
      </w:pPr>
      <w:r>
        <w:t xml:space="preserve">Ačkoliv dosavadní výkonost není spolehlivým ukazatelem budoucích výnosů, fond si za necelých pět let své existence vybudoval silnou historii stabilních výnosů s nízkou korelací s výnosy akcií i dluhopisů. Od svého založení také zaznamenal mnohem nižší poklesy než akciové trhy v období napětí. </w:t>
      </w:r>
    </w:p>
    <w:p w14:paraId="4D9337B1" w14:textId="77777777" w:rsidR="00B41218" w:rsidRDefault="00B41218" w:rsidP="00B41218">
      <w:pPr>
        <w:shd w:val="clear" w:color="auto" w:fill="FFFFFF"/>
        <w:spacing w:before="0" w:after="140" w:line="360" w:lineRule="auto"/>
        <w:rPr>
          <w:b/>
          <w:bCs/>
        </w:rPr>
      </w:pPr>
    </w:p>
    <w:p w14:paraId="2F5D5418" w14:textId="41AC98B2" w:rsidR="00B41218" w:rsidRPr="00B41218" w:rsidRDefault="00B41218" w:rsidP="00B41218">
      <w:pPr>
        <w:shd w:val="clear" w:color="auto" w:fill="FFFFFF"/>
        <w:spacing w:before="0" w:after="140" w:line="360" w:lineRule="auto"/>
        <w:rPr>
          <w:b/>
          <w:bCs/>
        </w:rPr>
      </w:pPr>
      <w:r>
        <w:rPr>
          <w:b/>
          <w:bCs/>
        </w:rPr>
        <w:t xml:space="preserve">Nabízíme osobitý růstový potenciál </w:t>
      </w:r>
    </w:p>
    <w:p w14:paraId="47ED7DFA" w14:textId="77777777" w:rsidR="00B41218" w:rsidRDefault="00B41218" w:rsidP="00D54CB0">
      <w:r w:rsidRPr="00B41218">
        <w:t xml:space="preserve">V dnešním světě zvýšené </w:t>
      </w:r>
      <w:proofErr w:type="spellStart"/>
      <w:r w:rsidRPr="00B41218">
        <w:t>geoekonomické</w:t>
      </w:r>
      <w:proofErr w:type="spellEnd"/>
      <w:r w:rsidRPr="00B41218">
        <w:t xml:space="preserve"> fragmentace a měnících se korelací mezi akciemi a dluhopisy více než kdy jindy roste důležitost nalezení stabilních a nekorelovaných zdrojů rizika a výnosů pro diverzifikaci portfolií. Uvědomujeme si, že naši klienti mohou čelit těmto problémům, a proto jsme tvrdě pracovali na tom, abychom jim nabídli řešení, která využívají naše zkušenosti s aktivním investováním a pomáhají jim tyto výzvy překonávat.</w:t>
      </w:r>
    </w:p>
    <w:p w14:paraId="6437E26A" w14:textId="536C7792" w:rsidR="00B3571B" w:rsidRDefault="00B3571B" w:rsidP="00D54CB0">
      <w:r w:rsidRPr="00B3571B">
        <w:t xml:space="preserve">Jedním z těchto řešení je naše tržně neutrální strategie fondu </w:t>
      </w:r>
      <w:proofErr w:type="spellStart"/>
      <w:r w:rsidRPr="00B3571B">
        <w:t>Absolute</w:t>
      </w:r>
      <w:proofErr w:type="spellEnd"/>
      <w:r w:rsidRPr="00B3571B">
        <w:t xml:space="preserve"> Return </w:t>
      </w:r>
      <w:proofErr w:type="spellStart"/>
      <w:r w:rsidRPr="00B3571B">
        <w:t>Global</w:t>
      </w:r>
      <w:proofErr w:type="spellEnd"/>
      <w:r w:rsidRPr="00B3571B">
        <w:t xml:space="preserve"> </w:t>
      </w:r>
      <w:proofErr w:type="spellStart"/>
      <w:r w:rsidRPr="00B3571B">
        <w:t>Equity</w:t>
      </w:r>
      <w:proofErr w:type="spellEnd"/>
      <w:r w:rsidRPr="00B3571B">
        <w:t xml:space="preserve"> </w:t>
      </w:r>
      <w:proofErr w:type="spellStart"/>
      <w:r w:rsidRPr="00B3571B">
        <w:t>Fund</w:t>
      </w:r>
      <w:proofErr w:type="spellEnd"/>
      <w:r w:rsidRPr="00B3571B">
        <w:t xml:space="preserve"> (ARGE). Využívá systematický přístup, který čerpá z nejlepších nápadů našeho rozsáhlého globálního týmu analytiků na poli základního výzkumu, přičemž se snaží zachytit ty nejatraktivnější příležitosti pro dosažení osobitého růstu (alfa) na dlouhé i krátké straně trhu. Tento jedinečný zdroj alfy, který je založen na výzkumu, se osvědčil z hlediska budování hodnoty v delším časovém horizontu (</w:t>
      </w:r>
      <w:r>
        <w:t>graf</w:t>
      </w:r>
      <w:r w:rsidRPr="00B3571B">
        <w:t xml:space="preserve"> 1) a na trhu jej nelze snadno replikovat.</w:t>
      </w:r>
    </w:p>
    <w:p w14:paraId="0242B4FF" w14:textId="77777777" w:rsidR="00B3571B" w:rsidRDefault="00B3571B" w:rsidP="00D822F6">
      <w:pPr>
        <w:rPr>
          <w:b/>
          <w:bCs/>
        </w:rPr>
      </w:pPr>
    </w:p>
    <w:p w14:paraId="59ACC172" w14:textId="77777777" w:rsidR="00B3571B" w:rsidRDefault="00B3571B" w:rsidP="00D822F6">
      <w:pPr>
        <w:rPr>
          <w:b/>
          <w:bCs/>
        </w:rPr>
      </w:pPr>
    </w:p>
    <w:p w14:paraId="59B05E5A" w14:textId="77777777" w:rsidR="00B3571B" w:rsidRDefault="00B3571B" w:rsidP="00D822F6">
      <w:pPr>
        <w:rPr>
          <w:b/>
          <w:bCs/>
        </w:rPr>
      </w:pPr>
    </w:p>
    <w:p w14:paraId="20C09526" w14:textId="77777777" w:rsidR="00B3571B" w:rsidRDefault="00B3571B" w:rsidP="00D822F6">
      <w:pPr>
        <w:rPr>
          <w:b/>
          <w:bCs/>
        </w:rPr>
      </w:pPr>
    </w:p>
    <w:p w14:paraId="3E952BD3" w14:textId="77777777" w:rsidR="00B3571B" w:rsidRDefault="00B3571B" w:rsidP="00D822F6">
      <w:pPr>
        <w:rPr>
          <w:b/>
          <w:bCs/>
        </w:rPr>
      </w:pPr>
    </w:p>
    <w:p w14:paraId="79F33F6A" w14:textId="065CFC40" w:rsidR="00D822F6" w:rsidRDefault="00B3571B" w:rsidP="00D822F6">
      <w:pPr>
        <w:rPr>
          <w:b/>
          <w:bCs/>
        </w:rPr>
      </w:pPr>
      <w:r>
        <w:rPr>
          <w:noProof/>
        </w:rPr>
        <w:lastRenderedPageBreak/>
        <w:drawing>
          <wp:anchor distT="0" distB="0" distL="114300" distR="114300" simplePos="0" relativeHeight="251658240" behindDoc="0" locked="0" layoutInCell="1" allowOverlap="1" wp14:anchorId="69E9A8FB" wp14:editId="6D8EB1F2">
            <wp:simplePos x="0" y="0"/>
            <wp:positionH relativeFrom="column">
              <wp:posOffset>4445</wp:posOffset>
            </wp:positionH>
            <wp:positionV relativeFrom="paragraph">
              <wp:posOffset>304800</wp:posOffset>
            </wp:positionV>
            <wp:extent cx="5759450" cy="2741930"/>
            <wp:effectExtent l="0" t="0" r="0" b="1270"/>
            <wp:wrapTopAndBottom/>
            <wp:docPr id="202043313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433135" name="Obrázek 2020433135"/>
                    <pic:cNvPicPr/>
                  </pic:nvPicPr>
                  <pic:blipFill>
                    <a:blip r:embed="rId11">
                      <a:extLst>
                        <a:ext uri="{28A0092B-C50C-407E-A947-70E740481C1C}">
                          <a14:useLocalDpi xmlns:a14="http://schemas.microsoft.com/office/drawing/2010/main" val="0"/>
                        </a:ext>
                      </a:extLst>
                    </a:blip>
                    <a:stretch>
                      <a:fillRect/>
                    </a:stretch>
                  </pic:blipFill>
                  <pic:spPr>
                    <a:xfrm>
                      <a:off x="0" y="0"/>
                      <a:ext cx="5759450" cy="2741930"/>
                    </a:xfrm>
                    <a:prstGeom prst="rect">
                      <a:avLst/>
                    </a:prstGeom>
                  </pic:spPr>
                </pic:pic>
              </a:graphicData>
            </a:graphic>
          </wp:anchor>
        </w:drawing>
      </w:r>
      <w:r>
        <w:rPr>
          <w:b/>
          <w:bCs/>
        </w:rPr>
        <w:t xml:space="preserve">Graf 1: Akciový výzkum společnosti </w:t>
      </w:r>
      <w:proofErr w:type="spellStart"/>
      <w:r>
        <w:rPr>
          <w:b/>
          <w:bCs/>
        </w:rPr>
        <w:t>Fidelity</w:t>
      </w:r>
      <w:proofErr w:type="spellEnd"/>
      <w:r>
        <w:rPr>
          <w:b/>
          <w:bCs/>
        </w:rPr>
        <w:t xml:space="preserve"> </w:t>
      </w:r>
      <w:r w:rsidRPr="00B3571B">
        <w:rPr>
          <w:b/>
          <w:bCs/>
        </w:rPr>
        <w:t>– osvědčený zdroj idiosynkratického alfa</w:t>
      </w:r>
    </w:p>
    <w:p w14:paraId="7B0DBF7A" w14:textId="06D08727" w:rsidR="00B3571B" w:rsidRPr="00B3571B" w:rsidRDefault="00B3571B" w:rsidP="00B3571B">
      <w:pPr>
        <w:pStyle w:val="F2-zkladn"/>
        <w:rPr>
          <w:i/>
          <w:iCs/>
        </w:rPr>
      </w:pPr>
      <w:r w:rsidRPr="00B3571B">
        <w:rPr>
          <w:i/>
          <w:iCs/>
        </w:rPr>
        <w:t>Dosavadní výkonnost není spolehlivým ukazatelem budoucích výnosů.</w:t>
      </w:r>
      <w:r>
        <w:rPr>
          <w:i/>
          <w:iCs/>
        </w:rPr>
        <w:t xml:space="preserve"> </w:t>
      </w:r>
      <w:r w:rsidRPr="00B3571B">
        <w:rPr>
          <w:i/>
          <w:iCs/>
        </w:rPr>
        <w:t xml:space="preserve">Zdroj: </w:t>
      </w:r>
      <w:proofErr w:type="spellStart"/>
      <w:r w:rsidRPr="00B3571B">
        <w:rPr>
          <w:i/>
          <w:iCs/>
        </w:rPr>
        <w:t>Fidelity</w:t>
      </w:r>
      <w:proofErr w:type="spellEnd"/>
      <w:r w:rsidRPr="00B3571B">
        <w:rPr>
          <w:i/>
          <w:iCs/>
        </w:rPr>
        <w:t xml:space="preserve"> International, 30. června 2025. Regionální výnosy vážené tržní kapitalizací společností s hodnocením „koupit/nadprůměrná výkonnost“ nebo „prodat/podprůměrná výkonnost“. Přidaná hodnota vypočítaná ve srovnání s regionálními indexy.</w:t>
      </w:r>
    </w:p>
    <w:p w14:paraId="1B029AA2" w14:textId="77777777" w:rsidR="008843A6" w:rsidRDefault="008843A6" w:rsidP="008843A6">
      <w:pPr>
        <w:shd w:val="clear" w:color="auto" w:fill="FFFFFF"/>
        <w:spacing w:before="0" w:after="140" w:line="360" w:lineRule="auto"/>
        <w:rPr>
          <w:b/>
          <w:bCs/>
        </w:rPr>
      </w:pPr>
    </w:p>
    <w:p w14:paraId="585312CF" w14:textId="7540E5E8" w:rsidR="008843A6" w:rsidRPr="00B41218" w:rsidRDefault="008843A6" w:rsidP="008843A6">
      <w:pPr>
        <w:shd w:val="clear" w:color="auto" w:fill="FFFFFF"/>
        <w:spacing w:before="0" w:after="140" w:line="360" w:lineRule="auto"/>
        <w:rPr>
          <w:b/>
          <w:bCs/>
        </w:rPr>
      </w:pPr>
      <w:proofErr w:type="spellStart"/>
      <w:r>
        <w:rPr>
          <w:b/>
          <w:bCs/>
        </w:rPr>
        <w:t>Dekorelace</w:t>
      </w:r>
      <w:proofErr w:type="spellEnd"/>
      <w:r>
        <w:rPr>
          <w:b/>
          <w:bCs/>
        </w:rPr>
        <w:t xml:space="preserve"> výnosů v nejistých časech</w:t>
      </w:r>
    </w:p>
    <w:p w14:paraId="32FEB05A" w14:textId="309B746A" w:rsidR="008843A6" w:rsidRPr="008843A6" w:rsidRDefault="008843A6" w:rsidP="008843A6">
      <w:pPr>
        <w:pStyle w:val="F2-zkladn"/>
      </w:pPr>
      <w:r w:rsidRPr="008843A6">
        <w:t>Zatímco volatilita může pro takové strategie vytvářet příležitosti, tento přístup řízený zdola nahoru může investory vystavit nežádoucím rozhodnutím ohledně stylu, sektoru nebo země, pokud není omezen, což zvyšuje nežádoucí volatilitu výnosů. Ve snaze vyhnout se těmto výsledkům ARGE využívá systematické procesy stavby portfolia a optimalizace faktorů, které se snaží řídit předsudky při investování a omezit vliv všeobecných pohybů na trhu na výnosy.</w:t>
      </w:r>
    </w:p>
    <w:p w14:paraId="6FC04854" w14:textId="77777777" w:rsidR="008843A6" w:rsidRPr="008843A6" w:rsidRDefault="008843A6" w:rsidP="008843A6">
      <w:pPr>
        <w:pStyle w:val="F2-zkladn"/>
      </w:pPr>
      <w:r w:rsidRPr="008843A6">
        <w:t xml:space="preserve">Pokud tímto způsobem izolujeme výběr akcií jako primární faktor výnosů, lze tuto strategii považovat za čisté vyjádření výzkumu společnosti </w:t>
      </w:r>
      <w:proofErr w:type="spellStart"/>
      <w:r w:rsidRPr="008843A6">
        <w:t>Fidelity</w:t>
      </w:r>
      <w:proofErr w:type="spellEnd"/>
      <w:r w:rsidRPr="008843A6">
        <w:t>. Na základě jejích kvalitativních a kvantitativních procesů je zpravidla vytvořeno diverzifikované portfolio 150–200 osobitých příležitostí zdola nahoru s cílem eliminovat hrozící tržní riziko (beta). Jejím konečným cílem je dosahovat konzistentních kladných absolutních výnosů ve střednědobém až dlouhodobém horizontu.</w:t>
      </w:r>
    </w:p>
    <w:p w14:paraId="6D56CA0C" w14:textId="0AF57A2E" w:rsidR="00B3571B" w:rsidRPr="00B3571B" w:rsidRDefault="00B3571B" w:rsidP="00B3571B">
      <w:pPr>
        <w:pStyle w:val="F2-zkladn"/>
      </w:pPr>
    </w:p>
    <w:p w14:paraId="323032FF" w14:textId="279B4180" w:rsidR="008843A6" w:rsidRPr="00B41218" w:rsidRDefault="008843A6" w:rsidP="008843A6">
      <w:pPr>
        <w:shd w:val="clear" w:color="auto" w:fill="FFFFFF"/>
        <w:spacing w:before="0" w:after="140" w:line="360" w:lineRule="auto"/>
        <w:rPr>
          <w:b/>
          <w:bCs/>
        </w:rPr>
      </w:pPr>
      <w:r>
        <w:rPr>
          <w:b/>
          <w:bCs/>
        </w:rPr>
        <w:t>Nekorelovaný zdroj alfy</w:t>
      </w:r>
    </w:p>
    <w:p w14:paraId="03D4AFFC" w14:textId="5E0B458E" w:rsidR="001D441A" w:rsidRPr="008843A6" w:rsidRDefault="008843A6" w:rsidP="000F17F3">
      <w:pPr>
        <w:shd w:val="clear" w:color="auto" w:fill="FFFFFF"/>
        <w:spacing w:before="0" w:after="140" w:line="360" w:lineRule="auto"/>
      </w:pPr>
      <w:r w:rsidRPr="008843A6">
        <w:t xml:space="preserve">Ačkoliv dosavadní výkonnost není spolehlivým ukazatelem budoucích výnosů, opakovatelné postupy fondu pomohly dosáhnout úspěchů, které jsou obzvláště atraktivní v kontextu požadavků na moderní vyvážené portfolio. </w:t>
      </w:r>
      <w:r>
        <w:t>Graf</w:t>
      </w:r>
      <w:r w:rsidRPr="008843A6">
        <w:t xml:space="preserve"> 2 nejprve ukazuje, jak tato strategie ve slabších obdobích tendenčně překonává globální akcie. </w:t>
      </w:r>
      <w:r>
        <w:t>Graf</w:t>
      </w:r>
      <w:r w:rsidRPr="008843A6">
        <w:t xml:space="preserve"> 3 pak ukazuje, že je to dáno její schopností snižovat poklesy v obdobích tržní volatility.</w:t>
      </w:r>
    </w:p>
    <w:p w14:paraId="2B7DAAEF" w14:textId="77777777" w:rsidR="008843A6" w:rsidRDefault="008843A6" w:rsidP="008843A6">
      <w:pPr>
        <w:shd w:val="clear" w:color="auto" w:fill="FFFFFF"/>
        <w:spacing w:before="0" w:after="140" w:line="360" w:lineRule="auto"/>
        <w:rPr>
          <w:b/>
          <w:bCs/>
        </w:rPr>
      </w:pPr>
    </w:p>
    <w:p w14:paraId="3FD5AAA2" w14:textId="704751F9" w:rsidR="008843A6" w:rsidRPr="00B41218" w:rsidRDefault="008843A6" w:rsidP="008843A6">
      <w:pPr>
        <w:shd w:val="clear" w:color="auto" w:fill="FFFFFF"/>
        <w:spacing w:before="0" w:after="140" w:line="360" w:lineRule="auto"/>
        <w:rPr>
          <w:b/>
          <w:bCs/>
        </w:rPr>
      </w:pPr>
      <w:r w:rsidRPr="008843A6">
        <w:rPr>
          <w:noProof/>
        </w:rPr>
        <w:lastRenderedPageBreak/>
        <w:drawing>
          <wp:anchor distT="0" distB="0" distL="114300" distR="114300" simplePos="0" relativeHeight="251659264" behindDoc="0" locked="0" layoutInCell="1" allowOverlap="1" wp14:anchorId="6C048F07" wp14:editId="2E5019CD">
            <wp:simplePos x="0" y="0"/>
            <wp:positionH relativeFrom="column">
              <wp:posOffset>4445</wp:posOffset>
            </wp:positionH>
            <wp:positionV relativeFrom="paragraph">
              <wp:posOffset>266700</wp:posOffset>
            </wp:positionV>
            <wp:extent cx="5759450" cy="2842260"/>
            <wp:effectExtent l="0" t="0" r="0" b="0"/>
            <wp:wrapTopAndBottom/>
            <wp:docPr id="117180218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802181" name=""/>
                    <pic:cNvPicPr/>
                  </pic:nvPicPr>
                  <pic:blipFill>
                    <a:blip r:embed="rId12">
                      <a:extLst>
                        <a:ext uri="{28A0092B-C50C-407E-A947-70E740481C1C}">
                          <a14:useLocalDpi xmlns:a14="http://schemas.microsoft.com/office/drawing/2010/main" val="0"/>
                        </a:ext>
                      </a:extLst>
                    </a:blip>
                    <a:stretch>
                      <a:fillRect/>
                    </a:stretch>
                  </pic:blipFill>
                  <pic:spPr>
                    <a:xfrm>
                      <a:off x="0" y="0"/>
                      <a:ext cx="5759450" cy="2842260"/>
                    </a:xfrm>
                    <a:prstGeom prst="rect">
                      <a:avLst/>
                    </a:prstGeom>
                  </pic:spPr>
                </pic:pic>
              </a:graphicData>
            </a:graphic>
          </wp:anchor>
        </w:drawing>
      </w:r>
      <w:r>
        <w:rPr>
          <w:b/>
          <w:bCs/>
        </w:rPr>
        <w:t xml:space="preserve">Graf 2: </w:t>
      </w:r>
      <w:r w:rsidRPr="008843A6">
        <w:rPr>
          <w:b/>
          <w:bCs/>
        </w:rPr>
        <w:t xml:space="preserve">Měsíční nadměrný výnos ARGE ve srovnání s indexem MSCI AC </w:t>
      </w:r>
      <w:proofErr w:type="spellStart"/>
      <w:r w:rsidRPr="008843A6">
        <w:rPr>
          <w:b/>
          <w:bCs/>
        </w:rPr>
        <w:t>World</w:t>
      </w:r>
      <w:proofErr w:type="spellEnd"/>
    </w:p>
    <w:p w14:paraId="34A0EECB" w14:textId="3C2C489C" w:rsidR="008843A6" w:rsidRPr="008843A6" w:rsidRDefault="008843A6" w:rsidP="008843A6">
      <w:pPr>
        <w:rPr>
          <w:i/>
          <w:iCs/>
        </w:rPr>
      </w:pPr>
      <w:r w:rsidRPr="008843A6">
        <w:rPr>
          <w:i/>
          <w:iCs/>
        </w:rPr>
        <w:t>Dosavadní výkonnost není spolehlivým ukazatelem budoucích výnosů.</w:t>
      </w:r>
      <w:r>
        <w:rPr>
          <w:i/>
          <w:iCs/>
        </w:rPr>
        <w:t xml:space="preserve"> </w:t>
      </w:r>
      <w:r w:rsidRPr="008843A6">
        <w:rPr>
          <w:i/>
          <w:iCs/>
        </w:rPr>
        <w:t xml:space="preserve">Zdroj: Tým pro produktový a tržní výzkum společnosti </w:t>
      </w:r>
      <w:proofErr w:type="spellStart"/>
      <w:r w:rsidRPr="008843A6">
        <w:rPr>
          <w:i/>
          <w:iCs/>
        </w:rPr>
        <w:t>Fidelity</w:t>
      </w:r>
      <w:proofErr w:type="spellEnd"/>
      <w:r w:rsidRPr="008843A6">
        <w:rPr>
          <w:i/>
          <w:iCs/>
        </w:rPr>
        <w:t xml:space="preserve">, </w:t>
      </w:r>
      <w:proofErr w:type="spellStart"/>
      <w:r w:rsidRPr="008843A6">
        <w:rPr>
          <w:i/>
          <w:iCs/>
        </w:rPr>
        <w:t>Morningstar</w:t>
      </w:r>
      <w:proofErr w:type="spellEnd"/>
      <w:r w:rsidRPr="008843A6">
        <w:rPr>
          <w:i/>
          <w:iCs/>
        </w:rPr>
        <w:t xml:space="preserve"> Direct. Základ pro výkonnost: nav-nav, reinvestovaný hrubý příjem v USD do 30. 6. 2025, po odečtení ročních poplatků (kromě počátečního poplatku, pokud je to relevantní). Výkonnost od založení je od založení fondu </w:t>
      </w:r>
      <w:proofErr w:type="spellStart"/>
      <w:r w:rsidRPr="008843A6">
        <w:rPr>
          <w:i/>
          <w:iCs/>
        </w:rPr>
        <w:t>Fidelity</w:t>
      </w:r>
      <w:proofErr w:type="spellEnd"/>
      <w:r w:rsidRPr="008843A6">
        <w:rPr>
          <w:i/>
          <w:iCs/>
        </w:rPr>
        <w:t>, tj. od 24. 9. 2020. Referenční index MSCI ACWI je uveden pro ilustraci výkonnosti globálních akciových trhů. Nadměrné výnosy vycházejí z měsíčních výnosů. Další důležité informace najdete v textu na snímku č. 2.</w:t>
      </w:r>
    </w:p>
    <w:p w14:paraId="5EB23CEF" w14:textId="63E9D4C6" w:rsidR="008843A6" w:rsidRDefault="00E76DB1" w:rsidP="00D54CB0">
      <w:pPr>
        <w:rPr>
          <w:b/>
          <w:bCs/>
        </w:rPr>
      </w:pPr>
      <w:r w:rsidRPr="00E76DB1">
        <w:rPr>
          <w:noProof/>
        </w:rPr>
        <w:drawing>
          <wp:anchor distT="0" distB="0" distL="114300" distR="114300" simplePos="0" relativeHeight="251660288" behindDoc="0" locked="0" layoutInCell="1" allowOverlap="1" wp14:anchorId="4892897F" wp14:editId="7C74BE6E">
            <wp:simplePos x="0" y="0"/>
            <wp:positionH relativeFrom="column">
              <wp:posOffset>4445</wp:posOffset>
            </wp:positionH>
            <wp:positionV relativeFrom="paragraph">
              <wp:posOffset>445135</wp:posOffset>
            </wp:positionV>
            <wp:extent cx="5759450" cy="3112770"/>
            <wp:effectExtent l="0" t="0" r="0" b="0"/>
            <wp:wrapTopAndBottom/>
            <wp:docPr id="12839395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93957" name=""/>
                    <pic:cNvPicPr/>
                  </pic:nvPicPr>
                  <pic:blipFill>
                    <a:blip r:embed="rId13">
                      <a:extLst>
                        <a:ext uri="{28A0092B-C50C-407E-A947-70E740481C1C}">
                          <a14:useLocalDpi xmlns:a14="http://schemas.microsoft.com/office/drawing/2010/main" val="0"/>
                        </a:ext>
                      </a:extLst>
                    </a:blip>
                    <a:stretch>
                      <a:fillRect/>
                    </a:stretch>
                  </pic:blipFill>
                  <pic:spPr>
                    <a:xfrm>
                      <a:off x="0" y="0"/>
                      <a:ext cx="5759450" cy="3112770"/>
                    </a:xfrm>
                    <a:prstGeom prst="rect">
                      <a:avLst/>
                    </a:prstGeom>
                  </pic:spPr>
                </pic:pic>
              </a:graphicData>
            </a:graphic>
          </wp:anchor>
        </w:drawing>
      </w:r>
      <w:r w:rsidR="008843A6">
        <w:rPr>
          <w:b/>
          <w:bCs/>
        </w:rPr>
        <w:t>Graf 3: Maximální pokles v obtížných tržních podmínkách (%)</w:t>
      </w:r>
      <w:r w:rsidR="008843A6" w:rsidRPr="008843A6">
        <w:rPr>
          <w:b/>
          <w:bCs/>
        </w:rPr>
        <w:t xml:space="preserve"> </w:t>
      </w:r>
    </w:p>
    <w:p w14:paraId="63211F48" w14:textId="72ABBFE0" w:rsidR="00E76DB1" w:rsidRPr="00E76DB1" w:rsidRDefault="00E76DB1" w:rsidP="00E76DB1">
      <w:pPr>
        <w:rPr>
          <w:i/>
          <w:iCs/>
        </w:rPr>
      </w:pPr>
      <w:r w:rsidRPr="00E76DB1">
        <w:rPr>
          <w:i/>
          <w:iCs/>
        </w:rPr>
        <w:t>Dosavadní výkonnost není spolehlivým ukazatelem budoucích výnosů.</w:t>
      </w:r>
      <w:r>
        <w:rPr>
          <w:i/>
          <w:iCs/>
        </w:rPr>
        <w:t xml:space="preserve"> </w:t>
      </w:r>
      <w:r w:rsidRPr="00E76DB1">
        <w:rPr>
          <w:i/>
          <w:iCs/>
        </w:rPr>
        <w:t xml:space="preserve">Zdroj: Tým pro produktový a tržní výzkum společnosti </w:t>
      </w:r>
      <w:proofErr w:type="spellStart"/>
      <w:r w:rsidRPr="00E76DB1">
        <w:rPr>
          <w:i/>
          <w:iCs/>
        </w:rPr>
        <w:t>Fidelity</w:t>
      </w:r>
      <w:proofErr w:type="spellEnd"/>
      <w:r w:rsidRPr="00E76DB1">
        <w:rPr>
          <w:i/>
          <w:iCs/>
        </w:rPr>
        <w:t xml:space="preserve">, </w:t>
      </w:r>
      <w:proofErr w:type="spellStart"/>
      <w:r w:rsidRPr="00E76DB1">
        <w:rPr>
          <w:i/>
          <w:iCs/>
        </w:rPr>
        <w:t>Morningstar</w:t>
      </w:r>
      <w:proofErr w:type="spellEnd"/>
      <w:r w:rsidRPr="00E76DB1">
        <w:rPr>
          <w:i/>
          <w:iCs/>
        </w:rPr>
        <w:t xml:space="preserve"> Direct. Základ pro výkonnost: nav-nav, reinvestovaný hrubý příjem v USD do 30. 4. 2025, po odečtení ročních poplatků (kromě počátečního poplatku, pokud je to relevantní). Referenční index MSCI ACWI je uveden pro ilustraci výkonnosti globálních akciových</w:t>
      </w:r>
      <w:r w:rsidRPr="00E76DB1">
        <w:t xml:space="preserve"> </w:t>
      </w:r>
      <w:r w:rsidRPr="00E76DB1">
        <w:rPr>
          <w:i/>
          <w:iCs/>
        </w:rPr>
        <w:lastRenderedPageBreak/>
        <w:t xml:space="preserve">trhů. Sektorové průměry vycházejí z kategorií </w:t>
      </w:r>
      <w:proofErr w:type="spellStart"/>
      <w:r w:rsidRPr="00E76DB1">
        <w:rPr>
          <w:i/>
          <w:iCs/>
        </w:rPr>
        <w:t>Morningstar</w:t>
      </w:r>
      <w:proofErr w:type="spellEnd"/>
      <w:r w:rsidRPr="00E76DB1">
        <w:rPr>
          <w:i/>
          <w:iCs/>
        </w:rPr>
        <w:t xml:space="preserve"> EAA (Evropa, Asie, Afrika). Měsíční výkonnostní řady se používají pro všechna časová období s výjimkou *údajů o poklesu v důsledku celní války, které jsou založeny na denní výkonnosti od 2. dubna 2025 do 9. dubna 2025. Další důležité informace najdete v textu na snímku č. 2.</w:t>
      </w:r>
    </w:p>
    <w:p w14:paraId="6ADDEE7C" w14:textId="673D6A48" w:rsidR="00E76DB1" w:rsidRDefault="00E76DB1" w:rsidP="00D54CB0">
      <w:r w:rsidRPr="00E76DB1">
        <w:t>Díky těmto charakteristikám dokázal fond ARGE v uplynulých třech letech dosáhnout podobného výnosu jako globální akcie, avšak s výrazně nižší volatilitou (</w:t>
      </w:r>
      <w:r>
        <w:t>graf</w:t>
      </w:r>
      <w:r w:rsidRPr="00E76DB1">
        <w:t xml:space="preserve"> 4). Fond tak byl schopen přinést významné výhody diverzifikace vyváženým portfoliím v období, kdy se tradiční diverzifikační techniky (např. skladba portfolia v poměru 60/40) ukázaly jako nedostatečné. </w:t>
      </w:r>
    </w:p>
    <w:p w14:paraId="47B6A158" w14:textId="2C7B2F82" w:rsidR="00E76DB1" w:rsidRDefault="00E76DB1" w:rsidP="00D54CB0">
      <w:pPr>
        <w:rPr>
          <w:b/>
          <w:bCs/>
        </w:rPr>
      </w:pPr>
      <w:r>
        <w:rPr>
          <w:noProof/>
        </w:rPr>
        <w:drawing>
          <wp:anchor distT="0" distB="0" distL="114300" distR="114300" simplePos="0" relativeHeight="251661312" behindDoc="0" locked="0" layoutInCell="1" allowOverlap="1" wp14:anchorId="19F31F1F" wp14:editId="51B46381">
            <wp:simplePos x="0" y="0"/>
            <wp:positionH relativeFrom="column">
              <wp:posOffset>-52705</wp:posOffset>
            </wp:positionH>
            <wp:positionV relativeFrom="paragraph">
              <wp:posOffset>464820</wp:posOffset>
            </wp:positionV>
            <wp:extent cx="5759450" cy="1910715"/>
            <wp:effectExtent l="0" t="0" r="0" b="0"/>
            <wp:wrapTopAndBottom/>
            <wp:docPr id="143900831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008312" name="Obrázek 1439008312"/>
                    <pic:cNvPicPr/>
                  </pic:nvPicPr>
                  <pic:blipFill>
                    <a:blip r:embed="rId14">
                      <a:extLst>
                        <a:ext uri="{28A0092B-C50C-407E-A947-70E740481C1C}">
                          <a14:useLocalDpi xmlns:a14="http://schemas.microsoft.com/office/drawing/2010/main" val="0"/>
                        </a:ext>
                      </a:extLst>
                    </a:blip>
                    <a:stretch>
                      <a:fillRect/>
                    </a:stretch>
                  </pic:blipFill>
                  <pic:spPr>
                    <a:xfrm>
                      <a:off x="0" y="0"/>
                      <a:ext cx="5759450" cy="1910715"/>
                    </a:xfrm>
                    <a:prstGeom prst="rect">
                      <a:avLst/>
                    </a:prstGeom>
                  </pic:spPr>
                </pic:pic>
              </a:graphicData>
            </a:graphic>
          </wp:anchor>
        </w:drawing>
      </w:r>
      <w:r>
        <w:rPr>
          <w:b/>
          <w:bCs/>
        </w:rPr>
        <w:t>Graf 4: Riziko versus výnos pro fond ARGE za období tří let</w:t>
      </w:r>
    </w:p>
    <w:p w14:paraId="4CE3ED57" w14:textId="7AD4950E" w:rsidR="00E76DB1" w:rsidRPr="00E76DB1" w:rsidRDefault="00E76DB1" w:rsidP="00E76DB1">
      <w:pPr>
        <w:rPr>
          <w:i/>
          <w:iCs/>
        </w:rPr>
      </w:pPr>
      <w:r w:rsidRPr="00E76DB1">
        <w:rPr>
          <w:i/>
          <w:iCs/>
        </w:rPr>
        <w:t>Dosavadní výkonnost není spolehlivým ukazatelem budoucích výnosů.</w:t>
      </w:r>
      <w:r>
        <w:rPr>
          <w:i/>
          <w:iCs/>
        </w:rPr>
        <w:t xml:space="preserve"> </w:t>
      </w:r>
      <w:r w:rsidRPr="00E76DB1">
        <w:rPr>
          <w:i/>
          <w:iCs/>
        </w:rPr>
        <w:t xml:space="preserve">Zdroj: Tým pro produktový a tržní výzkum společnosti </w:t>
      </w:r>
      <w:proofErr w:type="spellStart"/>
      <w:r w:rsidRPr="00E76DB1">
        <w:rPr>
          <w:i/>
          <w:iCs/>
        </w:rPr>
        <w:t>Fidelity</w:t>
      </w:r>
      <w:proofErr w:type="spellEnd"/>
      <w:r w:rsidRPr="00E76DB1">
        <w:rPr>
          <w:i/>
          <w:iCs/>
        </w:rPr>
        <w:t xml:space="preserve">, </w:t>
      </w:r>
      <w:proofErr w:type="spellStart"/>
      <w:r w:rsidRPr="00E76DB1">
        <w:rPr>
          <w:i/>
          <w:iCs/>
        </w:rPr>
        <w:t>Morningstar</w:t>
      </w:r>
      <w:proofErr w:type="spellEnd"/>
      <w:r w:rsidRPr="00E76DB1">
        <w:rPr>
          <w:i/>
          <w:iCs/>
        </w:rPr>
        <w:t xml:space="preserve"> Direct. Základ pro výkonnost: nav-nav, reinvestovaný hrubý příjem v USD do 30. 6. 2025, po odečtení ročních poplatků (kromě počátečního poplatku, pokud je to relevantní). Referenční index MSCI ACWI je uveden pro ilustraci výkonnosti globálních akciových trhů. Sektorové průměry vycházejí z kategorií </w:t>
      </w:r>
      <w:proofErr w:type="spellStart"/>
      <w:r w:rsidRPr="00E76DB1">
        <w:rPr>
          <w:i/>
          <w:iCs/>
        </w:rPr>
        <w:t>Morningstar</w:t>
      </w:r>
      <w:proofErr w:type="spellEnd"/>
      <w:r w:rsidRPr="00E76DB1">
        <w:rPr>
          <w:i/>
          <w:iCs/>
        </w:rPr>
        <w:t xml:space="preserve"> EAA (Evropa, Asie, Afrika). Míry rizika se počítají na základě měsíčních výkonnostních řad. Další důležité informace najdete v textu na snímku č. 2.</w:t>
      </w:r>
    </w:p>
    <w:p w14:paraId="73B22361" w14:textId="18DD668E" w:rsidR="00E76DB1" w:rsidRDefault="00E76DB1" w:rsidP="00D54CB0">
      <w:r>
        <w:rPr>
          <w:b/>
          <w:bCs/>
        </w:rPr>
        <w:t>Závěr: Diferencované výnosy v nepředvídatelném prostředí</w:t>
      </w:r>
    </w:p>
    <w:p w14:paraId="32EE1353" w14:textId="77777777" w:rsidR="00E76DB1" w:rsidRPr="00E76DB1" w:rsidRDefault="00E76DB1" w:rsidP="00E76DB1">
      <w:r w:rsidRPr="00E76DB1">
        <w:t>V současné nejisté a nepředvídatelné situaci hledají investoři řešení, která mohou průběžně přinášet nekorelované výnosy a nižší volatilitu než tradiční akciové a dluhopisové trhy, protože dynamika trhu se v průběhu času vyvíjí. Investiční filozofie a přístup fondu ARGE byly navrženy speciálně s ohledem na tyto výzvy a jeho dosavadní výsledky dokazují, že je schopen uspokojit nároky a požadavky investorů. Tyto úspěchy byly klíčové pro to, že spravovaný majetek této strategie překročil ještě před pátým výročím vzniku fondu (září 2025) 1 miliardu dolarů.</w:t>
      </w:r>
    </w:p>
    <w:p w14:paraId="6F8C93C6" w14:textId="713C7675" w:rsidR="00D54CB0" w:rsidRDefault="00E76DB1" w:rsidP="00E76DB1">
      <w:r w:rsidRPr="00E76DB1">
        <w:t>Více informací o ARGE najdete na našich webových stránkách </w:t>
      </w:r>
      <w:hyperlink r:id="rId15" w:history="1">
        <w:r w:rsidRPr="00E76DB1">
          <w:rPr>
            <w:rStyle w:val="Hypertextovodkaz"/>
          </w:rPr>
          <w:t>zde</w:t>
        </w:r>
      </w:hyperlink>
      <w:r w:rsidRPr="00E76DB1">
        <w:t>.</w:t>
      </w:r>
    </w:p>
    <w:p w14:paraId="10DB388A" w14:textId="77777777" w:rsidR="00E76DB1" w:rsidRDefault="00E76DB1" w:rsidP="00E76DB1">
      <w:pPr>
        <w:pStyle w:val="F2-zkladn"/>
      </w:pPr>
    </w:p>
    <w:p w14:paraId="479D01C8" w14:textId="77777777" w:rsidR="00E76DB1" w:rsidRDefault="00E76DB1" w:rsidP="00E76DB1">
      <w:pPr>
        <w:pStyle w:val="F2-zkladn"/>
      </w:pPr>
    </w:p>
    <w:p w14:paraId="39FC345E" w14:textId="77777777" w:rsidR="00E76DB1" w:rsidRDefault="00E76DB1" w:rsidP="00E76DB1">
      <w:pPr>
        <w:pStyle w:val="F2-zkladn"/>
      </w:pPr>
    </w:p>
    <w:p w14:paraId="77127745" w14:textId="77777777" w:rsidR="00E76DB1" w:rsidRPr="00E76DB1" w:rsidRDefault="00E76DB1" w:rsidP="00E76DB1">
      <w:pPr>
        <w:pStyle w:val="F2-zkladn"/>
      </w:pPr>
    </w:p>
    <w:p w14:paraId="3168453B" w14:textId="1DAED96B" w:rsidR="00B14448" w:rsidRDefault="006F508D" w:rsidP="002027ED">
      <w:pPr>
        <w:spacing w:before="0" w:line="240" w:lineRule="atLeast"/>
        <w:rPr>
          <w:b/>
        </w:rPr>
      </w:pPr>
      <w:r w:rsidRPr="00455A3C">
        <w:rPr>
          <w:b/>
        </w:rPr>
        <w:lastRenderedPageBreak/>
        <w:t>Pro více informací kontaktujte:</w:t>
      </w:r>
    </w:p>
    <w:p w14:paraId="0834ADE5" w14:textId="77777777" w:rsidR="00725052" w:rsidRDefault="00725052" w:rsidP="002027ED">
      <w:pPr>
        <w:spacing w:before="0" w:line="240" w:lineRule="atLeast"/>
        <w:rPr>
          <w:b/>
        </w:rPr>
      </w:pPr>
      <w:r>
        <w:rPr>
          <w:b/>
        </w:rPr>
        <w:t>Eliška Krohová</w:t>
      </w:r>
    </w:p>
    <w:p w14:paraId="67FFEC47" w14:textId="77777777" w:rsidR="00725052" w:rsidRPr="00455A3C" w:rsidRDefault="00725052" w:rsidP="002027ED">
      <w:pPr>
        <w:spacing w:before="0" w:line="240" w:lineRule="atLeast"/>
        <w:rPr>
          <w:b/>
          <w:bCs/>
        </w:rPr>
      </w:pPr>
      <w:r w:rsidRPr="00455A3C">
        <w:rPr>
          <w:b/>
          <w:bCs/>
        </w:rPr>
        <w:t>Crest Communications, a.s.</w:t>
      </w:r>
    </w:p>
    <w:p w14:paraId="60184193" w14:textId="77777777" w:rsidR="00725052" w:rsidRPr="00455A3C" w:rsidRDefault="00725052" w:rsidP="002027ED">
      <w:pPr>
        <w:spacing w:before="0" w:line="240" w:lineRule="atLeast"/>
      </w:pPr>
    </w:p>
    <w:p w14:paraId="1D987FD1" w14:textId="77777777" w:rsidR="00725052" w:rsidRPr="00455A3C" w:rsidRDefault="00725052" w:rsidP="002027ED">
      <w:pPr>
        <w:spacing w:before="0" w:line="240" w:lineRule="atLeast"/>
      </w:pPr>
      <w:r w:rsidRPr="00455A3C">
        <w:t>Ostrovní 126/30</w:t>
      </w:r>
    </w:p>
    <w:p w14:paraId="7E6C3F7A" w14:textId="77777777" w:rsidR="00725052" w:rsidRPr="00455A3C" w:rsidRDefault="00725052" w:rsidP="002027ED">
      <w:pPr>
        <w:spacing w:before="0" w:line="240" w:lineRule="atLeast"/>
      </w:pPr>
      <w:r w:rsidRPr="00455A3C">
        <w:t>110 00 Praha 1</w:t>
      </w:r>
    </w:p>
    <w:p w14:paraId="19CC2143" w14:textId="77777777" w:rsidR="00725052" w:rsidRPr="00455A3C" w:rsidRDefault="00725052" w:rsidP="002027ED">
      <w:pPr>
        <w:spacing w:before="0" w:line="240" w:lineRule="atLeast"/>
      </w:pPr>
      <w:proofErr w:type="spellStart"/>
      <w:r>
        <w:t>gsm</w:t>
      </w:r>
      <w:proofErr w:type="spellEnd"/>
      <w:r>
        <w:t>: + 420 720 406 659</w:t>
      </w:r>
    </w:p>
    <w:p w14:paraId="4724B738" w14:textId="77777777" w:rsidR="000E2910" w:rsidRDefault="00725052" w:rsidP="002027ED">
      <w:pPr>
        <w:spacing w:before="0" w:line="240" w:lineRule="atLeast"/>
        <w:rPr>
          <w:rStyle w:val="Hypertextovodkaz"/>
        </w:rPr>
      </w:pPr>
      <w:r w:rsidRPr="00455A3C">
        <w:rPr>
          <w:color w:val="000000"/>
        </w:rPr>
        <w:t xml:space="preserve">e-mail: </w:t>
      </w:r>
      <w:hyperlink r:id="rId16" w:history="1">
        <w:r w:rsidRPr="00E23FD4">
          <w:rPr>
            <w:rStyle w:val="Hypertextovodkaz"/>
          </w:rPr>
          <w:t>eliska.krohova@crestcom.cz</w:t>
        </w:r>
      </w:hyperlink>
    </w:p>
    <w:p w14:paraId="6695BBCE" w14:textId="77777777" w:rsidR="005A5AB1" w:rsidRPr="005A5AB1" w:rsidRDefault="005A5AB1" w:rsidP="002027ED">
      <w:pPr>
        <w:pStyle w:val="F2-zkladn"/>
      </w:pPr>
    </w:p>
    <w:p w14:paraId="1952AD39"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13CC1FF4" w14:textId="77777777" w:rsidR="006E78BA" w:rsidRPr="00AF76C6" w:rsidRDefault="00D404D5" w:rsidP="00AF76C6">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18F2889E" w14:textId="77777777" w:rsidR="00424771" w:rsidRPr="00424771" w:rsidRDefault="00424771" w:rsidP="002027ED">
      <w:pPr>
        <w:pStyle w:val="F2-zkladn"/>
        <w:rPr>
          <w:b/>
          <w:bCs/>
        </w:rPr>
      </w:pPr>
      <w:r w:rsidRPr="00424771">
        <w:rPr>
          <w:b/>
          <w:bCs/>
        </w:rPr>
        <w:t>Důležité upozornění</w:t>
      </w:r>
    </w:p>
    <w:p w14:paraId="2B6FD8FC" w14:textId="77777777" w:rsidR="00424771" w:rsidRDefault="00424771" w:rsidP="002027ED">
      <w:pPr>
        <w:pStyle w:val="F2-zkladn"/>
      </w:pPr>
      <w:r>
        <w:t>Toto je propagační materiál. Tento dokument nesmí být bez předchozího souhlasu rozmnožován nebo rozšiřován.</w:t>
      </w:r>
    </w:p>
    <w:p w14:paraId="7CE40F3D"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5429933E"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5A028392"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2D7E4DE9"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xml:space="preserve">, ani nabídku ke koupi, prodeji nebo výzvu k nabídce ke koupi nebo prodeji jakýchkoli </w:t>
      </w:r>
      <w:r>
        <w:lastRenderedPageBreak/>
        <w:t>cenných papírů v jakékoli jurisdikci nebo zemi, kde taková distribuce nebo nabídka není povolena či by byla v rozporu s místními zákony nebo předpisy.</w:t>
      </w:r>
    </w:p>
    <w:p w14:paraId="617F9D43"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7C10753" w14:textId="77777777" w:rsidR="00424771" w:rsidRDefault="00424771" w:rsidP="002027ED">
      <w:pPr>
        <w:pStyle w:val="F2-zkladn"/>
      </w:pPr>
      <w:r>
        <w:t>Minulá výkonnost není spolehlivým ukazatelem budoucích výsledků.</w:t>
      </w:r>
    </w:p>
    <w:p w14:paraId="43430240"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7CBA17E7"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0A340423"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088F7914"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032496E3" w14:textId="6B0434C1" w:rsidR="00D20058" w:rsidRDefault="00E76DB1" w:rsidP="00E76DB1">
      <w:pPr>
        <w:pStyle w:val="F2-zkladn"/>
      </w:pPr>
      <w:r w:rsidRPr="00E76DB1">
        <w:t>MKAT13174</w:t>
      </w:r>
    </w:p>
    <w:sectPr w:rsidR="00D20058" w:rsidSect="00F50497">
      <w:headerReference w:type="default" r:id="rId17"/>
      <w:footerReference w:type="default" r:id="rId18"/>
      <w:headerReference w:type="first" r:id="rId19"/>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CAE09" w14:textId="77777777" w:rsidR="001555FC" w:rsidRDefault="001555FC">
      <w:r>
        <w:separator/>
      </w:r>
    </w:p>
  </w:endnote>
  <w:endnote w:type="continuationSeparator" w:id="0">
    <w:p w14:paraId="51DAF5FA" w14:textId="77777777" w:rsidR="001555FC" w:rsidRDefault="00155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AF1AF"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842BF" w14:textId="77777777" w:rsidR="001555FC" w:rsidRDefault="001555FC">
      <w:r>
        <w:separator/>
      </w:r>
    </w:p>
  </w:footnote>
  <w:footnote w:type="continuationSeparator" w:id="0">
    <w:p w14:paraId="55454491" w14:textId="77777777" w:rsidR="001555FC" w:rsidRDefault="001555FC">
      <w:r>
        <w:continuationSeparator/>
      </w:r>
    </w:p>
  </w:footnote>
  <w:footnote w:type="continuationNotice" w:id="1">
    <w:p w14:paraId="6F3853D7" w14:textId="77777777" w:rsidR="001555FC" w:rsidRDefault="001555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CDA8C"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2A25A" w14:textId="77777777" w:rsidR="001D1343" w:rsidRDefault="0018797C">
    <w:pPr>
      <w:pStyle w:val="Zhlav"/>
    </w:pPr>
    <w:r>
      <w:rPr>
        <w:noProof/>
      </w:rPr>
      <w:drawing>
        <wp:anchor distT="0" distB="0" distL="114300" distR="114300" simplePos="0" relativeHeight="251657728" behindDoc="0" locked="0" layoutInCell="1" allowOverlap="1" wp14:anchorId="0211B2D4" wp14:editId="7C062988">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41DB1735" w14:textId="77777777" w:rsidR="001D1343" w:rsidRDefault="001D1343">
    <w:pPr>
      <w:pStyle w:val="Zhlav"/>
    </w:pPr>
  </w:p>
  <w:p w14:paraId="0D163528"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6D428EB"/>
    <w:multiLevelType w:val="hybridMultilevel"/>
    <w:tmpl w:val="016C0ED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7"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9" w15:restartNumberingAfterBreak="0">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3"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4"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E0C3C4C"/>
    <w:multiLevelType w:val="hybridMultilevel"/>
    <w:tmpl w:val="F76483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0000233"/>
    <w:multiLevelType w:val="multilevel"/>
    <w:tmpl w:val="FF0C1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1090069"/>
    <w:multiLevelType w:val="hybridMultilevel"/>
    <w:tmpl w:val="F4EA48FC"/>
    <w:lvl w:ilvl="0" w:tplc="340AB2A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8690C4C"/>
    <w:multiLevelType w:val="multilevel"/>
    <w:tmpl w:val="E4DA2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7"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9"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4"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7"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D422BDE"/>
    <w:multiLevelType w:val="hybridMultilevel"/>
    <w:tmpl w:val="53FAF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EEB490C"/>
    <w:multiLevelType w:val="multilevel"/>
    <w:tmpl w:val="EFB0D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7484830">
    <w:abstractNumId w:val="18"/>
  </w:num>
  <w:num w:numId="2" w16cid:durableId="1895313556">
    <w:abstractNumId w:val="38"/>
  </w:num>
  <w:num w:numId="3" w16cid:durableId="1213884590">
    <w:abstractNumId w:val="45"/>
  </w:num>
  <w:num w:numId="4" w16cid:durableId="249312893">
    <w:abstractNumId w:val="24"/>
  </w:num>
  <w:num w:numId="5" w16cid:durableId="315694586">
    <w:abstractNumId w:val="26"/>
  </w:num>
  <w:num w:numId="6" w16cid:durableId="108403674">
    <w:abstractNumId w:val="22"/>
  </w:num>
  <w:num w:numId="7" w16cid:durableId="604575006">
    <w:abstractNumId w:val="43"/>
  </w:num>
  <w:num w:numId="8" w16cid:durableId="2105804766">
    <w:abstractNumId w:val="29"/>
  </w:num>
  <w:num w:numId="9" w16cid:durableId="1101728839">
    <w:abstractNumId w:val="8"/>
  </w:num>
  <w:num w:numId="10" w16cid:durableId="147525618">
    <w:abstractNumId w:val="3"/>
  </w:num>
  <w:num w:numId="11" w16cid:durableId="1192184680">
    <w:abstractNumId w:val="2"/>
  </w:num>
  <w:num w:numId="12" w16cid:durableId="182088894">
    <w:abstractNumId w:val="1"/>
  </w:num>
  <w:num w:numId="13" w16cid:durableId="141392017">
    <w:abstractNumId w:val="0"/>
  </w:num>
  <w:num w:numId="14" w16cid:durableId="1168059388">
    <w:abstractNumId w:val="11"/>
  </w:num>
  <w:num w:numId="15" w16cid:durableId="1611010598">
    <w:abstractNumId w:val="9"/>
  </w:num>
  <w:num w:numId="16" w16cid:durableId="37248296">
    <w:abstractNumId w:val="7"/>
  </w:num>
  <w:num w:numId="17" w16cid:durableId="154491525">
    <w:abstractNumId w:val="6"/>
  </w:num>
  <w:num w:numId="18" w16cid:durableId="979844708">
    <w:abstractNumId w:val="5"/>
  </w:num>
  <w:num w:numId="19" w16cid:durableId="1197698942">
    <w:abstractNumId w:val="4"/>
  </w:num>
  <w:num w:numId="20" w16cid:durableId="567231113">
    <w:abstractNumId w:val="16"/>
  </w:num>
  <w:num w:numId="21" w16cid:durableId="1864786788">
    <w:abstractNumId w:val="36"/>
  </w:num>
  <w:num w:numId="22" w16cid:durableId="907761201">
    <w:abstractNumId w:val="13"/>
  </w:num>
  <w:num w:numId="23" w16cid:durableId="827669594">
    <w:abstractNumId w:val="10"/>
  </w:num>
  <w:num w:numId="24" w16cid:durableId="1534538987">
    <w:abstractNumId w:val="14"/>
  </w:num>
  <w:num w:numId="25" w16cid:durableId="274143246">
    <w:abstractNumId w:val="20"/>
  </w:num>
  <w:num w:numId="26" w16cid:durableId="1315336715">
    <w:abstractNumId w:val="42"/>
  </w:num>
  <w:num w:numId="27" w16cid:durableId="769544694">
    <w:abstractNumId w:val="33"/>
  </w:num>
  <w:num w:numId="28" w16cid:durableId="424962738">
    <w:abstractNumId w:val="21"/>
  </w:num>
  <w:num w:numId="29" w16cid:durableId="1088423855">
    <w:abstractNumId w:val="23"/>
  </w:num>
  <w:num w:numId="30" w16cid:durableId="838152150">
    <w:abstractNumId w:val="25"/>
  </w:num>
  <w:num w:numId="31" w16cid:durableId="771709832">
    <w:abstractNumId w:val="37"/>
  </w:num>
  <w:num w:numId="32" w16cid:durableId="1570068625">
    <w:abstractNumId w:val="46"/>
  </w:num>
  <w:num w:numId="33" w16cid:durableId="280261214">
    <w:abstractNumId w:val="32"/>
  </w:num>
  <w:num w:numId="34" w16cid:durableId="1755005586">
    <w:abstractNumId w:val="44"/>
  </w:num>
  <w:num w:numId="35" w16cid:durableId="975062918">
    <w:abstractNumId w:val="48"/>
  </w:num>
  <w:num w:numId="36" w16cid:durableId="65340861">
    <w:abstractNumId w:val="15"/>
  </w:num>
  <w:num w:numId="37" w16cid:durableId="369651298">
    <w:abstractNumId w:val="41"/>
  </w:num>
  <w:num w:numId="38" w16cid:durableId="561336543">
    <w:abstractNumId w:val="17"/>
  </w:num>
  <w:num w:numId="39" w16cid:durableId="993333316">
    <w:abstractNumId w:val="31"/>
  </w:num>
  <w:num w:numId="40" w16cid:durableId="945430004">
    <w:abstractNumId w:val="39"/>
  </w:num>
  <w:num w:numId="41" w16cid:durableId="1123378030">
    <w:abstractNumId w:val="47"/>
  </w:num>
  <w:num w:numId="42" w16cid:durableId="2118477175">
    <w:abstractNumId w:val="28"/>
  </w:num>
  <w:num w:numId="43" w16cid:durableId="1760370648">
    <w:abstractNumId w:val="40"/>
  </w:num>
  <w:num w:numId="44" w16cid:durableId="624894503">
    <w:abstractNumId w:val="19"/>
  </w:num>
  <w:num w:numId="45" w16cid:durableId="868492869">
    <w:abstractNumId w:val="49"/>
  </w:num>
  <w:num w:numId="46" w16cid:durableId="321738993">
    <w:abstractNumId w:val="27"/>
  </w:num>
  <w:num w:numId="47" w16cid:durableId="1931890237">
    <w:abstractNumId w:val="34"/>
  </w:num>
  <w:num w:numId="48" w16cid:durableId="1621035614">
    <w:abstractNumId w:val="12"/>
  </w:num>
  <w:num w:numId="49" w16cid:durableId="625696803">
    <w:abstractNumId w:val="30"/>
  </w:num>
  <w:num w:numId="50" w16cid:durableId="1830244003">
    <w:abstractNumId w:val="35"/>
  </w:num>
  <w:num w:numId="51" w16cid:durableId="2144299643">
    <w:abstractNumId w:val="5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0703"/>
    <w:rsid w:val="00011573"/>
    <w:rsid w:val="00011BEC"/>
    <w:rsid w:val="00013232"/>
    <w:rsid w:val="00016492"/>
    <w:rsid w:val="00017E0A"/>
    <w:rsid w:val="00020F03"/>
    <w:rsid w:val="00021D97"/>
    <w:rsid w:val="0002277D"/>
    <w:rsid w:val="000237A9"/>
    <w:rsid w:val="00026B23"/>
    <w:rsid w:val="00026F85"/>
    <w:rsid w:val="000326E4"/>
    <w:rsid w:val="0003273E"/>
    <w:rsid w:val="00032CD3"/>
    <w:rsid w:val="00033378"/>
    <w:rsid w:val="000348FD"/>
    <w:rsid w:val="0003583E"/>
    <w:rsid w:val="00035DD6"/>
    <w:rsid w:val="000363FF"/>
    <w:rsid w:val="000378F9"/>
    <w:rsid w:val="00040650"/>
    <w:rsid w:val="00040CE8"/>
    <w:rsid w:val="00040DEC"/>
    <w:rsid w:val="00041B2D"/>
    <w:rsid w:val="00043963"/>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CAB"/>
    <w:rsid w:val="00073D6F"/>
    <w:rsid w:val="000755DF"/>
    <w:rsid w:val="000763EB"/>
    <w:rsid w:val="000766BF"/>
    <w:rsid w:val="0007674D"/>
    <w:rsid w:val="000767DF"/>
    <w:rsid w:val="00076A25"/>
    <w:rsid w:val="00076A2B"/>
    <w:rsid w:val="00080750"/>
    <w:rsid w:val="00080A22"/>
    <w:rsid w:val="00081DCE"/>
    <w:rsid w:val="00084075"/>
    <w:rsid w:val="00084996"/>
    <w:rsid w:val="00091210"/>
    <w:rsid w:val="00092137"/>
    <w:rsid w:val="000923E4"/>
    <w:rsid w:val="00093200"/>
    <w:rsid w:val="00093C6A"/>
    <w:rsid w:val="00093E98"/>
    <w:rsid w:val="000940D0"/>
    <w:rsid w:val="000A0176"/>
    <w:rsid w:val="000A06A7"/>
    <w:rsid w:val="000A20E5"/>
    <w:rsid w:val="000A2833"/>
    <w:rsid w:val="000A2D6F"/>
    <w:rsid w:val="000A3FFF"/>
    <w:rsid w:val="000A572D"/>
    <w:rsid w:val="000A5FDF"/>
    <w:rsid w:val="000A6560"/>
    <w:rsid w:val="000A73CB"/>
    <w:rsid w:val="000A755E"/>
    <w:rsid w:val="000A7729"/>
    <w:rsid w:val="000B0FBB"/>
    <w:rsid w:val="000B18F3"/>
    <w:rsid w:val="000B2222"/>
    <w:rsid w:val="000B2426"/>
    <w:rsid w:val="000B39A5"/>
    <w:rsid w:val="000B51E9"/>
    <w:rsid w:val="000B579C"/>
    <w:rsid w:val="000B57A2"/>
    <w:rsid w:val="000B5A2B"/>
    <w:rsid w:val="000C0E0E"/>
    <w:rsid w:val="000C17C8"/>
    <w:rsid w:val="000C34DC"/>
    <w:rsid w:val="000C4D6D"/>
    <w:rsid w:val="000C5471"/>
    <w:rsid w:val="000C727D"/>
    <w:rsid w:val="000C772F"/>
    <w:rsid w:val="000D25CC"/>
    <w:rsid w:val="000D3C66"/>
    <w:rsid w:val="000D4381"/>
    <w:rsid w:val="000D5282"/>
    <w:rsid w:val="000D580F"/>
    <w:rsid w:val="000E0C24"/>
    <w:rsid w:val="000E2910"/>
    <w:rsid w:val="000E3678"/>
    <w:rsid w:val="000E3D98"/>
    <w:rsid w:val="000E41E3"/>
    <w:rsid w:val="000E42A1"/>
    <w:rsid w:val="000E42FF"/>
    <w:rsid w:val="000E4ADE"/>
    <w:rsid w:val="000E5D25"/>
    <w:rsid w:val="000E7127"/>
    <w:rsid w:val="000E7418"/>
    <w:rsid w:val="000F02A2"/>
    <w:rsid w:val="000F0587"/>
    <w:rsid w:val="000F17F3"/>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08B4"/>
    <w:rsid w:val="00111B20"/>
    <w:rsid w:val="00112C69"/>
    <w:rsid w:val="00112D51"/>
    <w:rsid w:val="00113408"/>
    <w:rsid w:val="00113C5A"/>
    <w:rsid w:val="00113E5E"/>
    <w:rsid w:val="0011458C"/>
    <w:rsid w:val="00114722"/>
    <w:rsid w:val="001169F2"/>
    <w:rsid w:val="00117D27"/>
    <w:rsid w:val="0012091C"/>
    <w:rsid w:val="001211C9"/>
    <w:rsid w:val="00121FAB"/>
    <w:rsid w:val="0012308F"/>
    <w:rsid w:val="00126B10"/>
    <w:rsid w:val="00127396"/>
    <w:rsid w:val="00127ED9"/>
    <w:rsid w:val="00130E22"/>
    <w:rsid w:val="00131E29"/>
    <w:rsid w:val="00134A55"/>
    <w:rsid w:val="00137FDE"/>
    <w:rsid w:val="00140F96"/>
    <w:rsid w:val="00141CF1"/>
    <w:rsid w:val="0014300F"/>
    <w:rsid w:val="001443DF"/>
    <w:rsid w:val="001444EC"/>
    <w:rsid w:val="00145F9D"/>
    <w:rsid w:val="001462C0"/>
    <w:rsid w:val="00146942"/>
    <w:rsid w:val="00146BBC"/>
    <w:rsid w:val="001511F4"/>
    <w:rsid w:val="001522B5"/>
    <w:rsid w:val="00153D75"/>
    <w:rsid w:val="00153FD1"/>
    <w:rsid w:val="00154229"/>
    <w:rsid w:val="00154C56"/>
    <w:rsid w:val="00154D3A"/>
    <w:rsid w:val="001555FC"/>
    <w:rsid w:val="0015633B"/>
    <w:rsid w:val="00160EB2"/>
    <w:rsid w:val="00161993"/>
    <w:rsid w:val="001628BC"/>
    <w:rsid w:val="0016361E"/>
    <w:rsid w:val="00165789"/>
    <w:rsid w:val="0016695F"/>
    <w:rsid w:val="00170309"/>
    <w:rsid w:val="00170DE1"/>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05D"/>
    <w:rsid w:val="00194285"/>
    <w:rsid w:val="00194945"/>
    <w:rsid w:val="001949DC"/>
    <w:rsid w:val="001956CF"/>
    <w:rsid w:val="001970D7"/>
    <w:rsid w:val="00197E01"/>
    <w:rsid w:val="001A085A"/>
    <w:rsid w:val="001A0CB6"/>
    <w:rsid w:val="001A1B9B"/>
    <w:rsid w:val="001A3CA7"/>
    <w:rsid w:val="001A4AA9"/>
    <w:rsid w:val="001A68C4"/>
    <w:rsid w:val="001A6B3C"/>
    <w:rsid w:val="001A6ED5"/>
    <w:rsid w:val="001A74F2"/>
    <w:rsid w:val="001A7D5A"/>
    <w:rsid w:val="001A7DE3"/>
    <w:rsid w:val="001A7E89"/>
    <w:rsid w:val="001B0302"/>
    <w:rsid w:val="001B05F4"/>
    <w:rsid w:val="001B19BC"/>
    <w:rsid w:val="001B1BBD"/>
    <w:rsid w:val="001B23C8"/>
    <w:rsid w:val="001B2BE9"/>
    <w:rsid w:val="001B306F"/>
    <w:rsid w:val="001B353C"/>
    <w:rsid w:val="001B489F"/>
    <w:rsid w:val="001B69B7"/>
    <w:rsid w:val="001B7A52"/>
    <w:rsid w:val="001C02E6"/>
    <w:rsid w:val="001C21DF"/>
    <w:rsid w:val="001C233E"/>
    <w:rsid w:val="001C4F9E"/>
    <w:rsid w:val="001C5A91"/>
    <w:rsid w:val="001C5DB0"/>
    <w:rsid w:val="001C6F31"/>
    <w:rsid w:val="001D032B"/>
    <w:rsid w:val="001D0D99"/>
    <w:rsid w:val="001D1225"/>
    <w:rsid w:val="001D1343"/>
    <w:rsid w:val="001D441A"/>
    <w:rsid w:val="001D4B56"/>
    <w:rsid w:val="001D4CF8"/>
    <w:rsid w:val="001D5163"/>
    <w:rsid w:val="001D6D5D"/>
    <w:rsid w:val="001D7A7E"/>
    <w:rsid w:val="001E2936"/>
    <w:rsid w:val="001E2B0D"/>
    <w:rsid w:val="001E476B"/>
    <w:rsid w:val="001E507C"/>
    <w:rsid w:val="001E53EB"/>
    <w:rsid w:val="001E57AB"/>
    <w:rsid w:val="001E67FF"/>
    <w:rsid w:val="001E6913"/>
    <w:rsid w:val="001E6C4F"/>
    <w:rsid w:val="001F1241"/>
    <w:rsid w:val="001F1A22"/>
    <w:rsid w:val="001F2C9A"/>
    <w:rsid w:val="001F4B06"/>
    <w:rsid w:val="001F5BD4"/>
    <w:rsid w:val="001F627F"/>
    <w:rsid w:val="001F65C1"/>
    <w:rsid w:val="002006D5"/>
    <w:rsid w:val="00201CD7"/>
    <w:rsid w:val="002027ED"/>
    <w:rsid w:val="00202F64"/>
    <w:rsid w:val="00203977"/>
    <w:rsid w:val="00206A9C"/>
    <w:rsid w:val="00210DA8"/>
    <w:rsid w:val="00210EEA"/>
    <w:rsid w:val="00212B9E"/>
    <w:rsid w:val="00212DDA"/>
    <w:rsid w:val="002147C4"/>
    <w:rsid w:val="00216EFA"/>
    <w:rsid w:val="0021765E"/>
    <w:rsid w:val="0021778F"/>
    <w:rsid w:val="00221643"/>
    <w:rsid w:val="00221EE4"/>
    <w:rsid w:val="002237EC"/>
    <w:rsid w:val="002241EE"/>
    <w:rsid w:val="00224347"/>
    <w:rsid w:val="00224EAE"/>
    <w:rsid w:val="00225670"/>
    <w:rsid w:val="002268F9"/>
    <w:rsid w:val="00226D28"/>
    <w:rsid w:val="00227323"/>
    <w:rsid w:val="002273F8"/>
    <w:rsid w:val="00230204"/>
    <w:rsid w:val="0023028F"/>
    <w:rsid w:val="00230A3C"/>
    <w:rsid w:val="00230B88"/>
    <w:rsid w:val="00231842"/>
    <w:rsid w:val="00231C56"/>
    <w:rsid w:val="00231E15"/>
    <w:rsid w:val="002325C8"/>
    <w:rsid w:val="00232D93"/>
    <w:rsid w:val="00233450"/>
    <w:rsid w:val="00235E9D"/>
    <w:rsid w:val="00236025"/>
    <w:rsid w:val="0023608B"/>
    <w:rsid w:val="00236922"/>
    <w:rsid w:val="00236A18"/>
    <w:rsid w:val="00236C7C"/>
    <w:rsid w:val="00236FC4"/>
    <w:rsid w:val="00240FEC"/>
    <w:rsid w:val="0024226C"/>
    <w:rsid w:val="002423A0"/>
    <w:rsid w:val="002438EA"/>
    <w:rsid w:val="00243F5F"/>
    <w:rsid w:val="00245331"/>
    <w:rsid w:val="00246476"/>
    <w:rsid w:val="0024760D"/>
    <w:rsid w:val="002476C8"/>
    <w:rsid w:val="00252816"/>
    <w:rsid w:val="00252C08"/>
    <w:rsid w:val="0025356A"/>
    <w:rsid w:val="002548DB"/>
    <w:rsid w:val="00255335"/>
    <w:rsid w:val="00255E9C"/>
    <w:rsid w:val="00255F84"/>
    <w:rsid w:val="00256118"/>
    <w:rsid w:val="0025641E"/>
    <w:rsid w:val="00256692"/>
    <w:rsid w:val="00257859"/>
    <w:rsid w:val="00262023"/>
    <w:rsid w:val="00262CDC"/>
    <w:rsid w:val="0026336D"/>
    <w:rsid w:val="002659D6"/>
    <w:rsid w:val="00266BB2"/>
    <w:rsid w:val="00267F47"/>
    <w:rsid w:val="0027138C"/>
    <w:rsid w:val="0027263C"/>
    <w:rsid w:val="002746C8"/>
    <w:rsid w:val="002749F1"/>
    <w:rsid w:val="00274B2A"/>
    <w:rsid w:val="00276830"/>
    <w:rsid w:val="002772D7"/>
    <w:rsid w:val="002772EA"/>
    <w:rsid w:val="00277457"/>
    <w:rsid w:val="002804AB"/>
    <w:rsid w:val="0028058D"/>
    <w:rsid w:val="0028110E"/>
    <w:rsid w:val="0028168C"/>
    <w:rsid w:val="00281857"/>
    <w:rsid w:val="00282531"/>
    <w:rsid w:val="00283492"/>
    <w:rsid w:val="00283AE5"/>
    <w:rsid w:val="00283F1B"/>
    <w:rsid w:val="00284C66"/>
    <w:rsid w:val="0029073F"/>
    <w:rsid w:val="00291676"/>
    <w:rsid w:val="00291E39"/>
    <w:rsid w:val="0029280B"/>
    <w:rsid w:val="00292C1D"/>
    <w:rsid w:val="00292EC0"/>
    <w:rsid w:val="00293679"/>
    <w:rsid w:val="00293BA3"/>
    <w:rsid w:val="00294A46"/>
    <w:rsid w:val="00296721"/>
    <w:rsid w:val="00296E4C"/>
    <w:rsid w:val="00296EFF"/>
    <w:rsid w:val="00297239"/>
    <w:rsid w:val="00297927"/>
    <w:rsid w:val="00297E46"/>
    <w:rsid w:val="002A0553"/>
    <w:rsid w:val="002A0933"/>
    <w:rsid w:val="002A2D40"/>
    <w:rsid w:val="002A3111"/>
    <w:rsid w:val="002A374D"/>
    <w:rsid w:val="002A3C7D"/>
    <w:rsid w:val="002A44A9"/>
    <w:rsid w:val="002A4D2E"/>
    <w:rsid w:val="002B0AF2"/>
    <w:rsid w:val="002B0AFD"/>
    <w:rsid w:val="002B0B15"/>
    <w:rsid w:val="002B14B5"/>
    <w:rsid w:val="002B2991"/>
    <w:rsid w:val="002B3C38"/>
    <w:rsid w:val="002B4A3F"/>
    <w:rsid w:val="002B5380"/>
    <w:rsid w:val="002B5926"/>
    <w:rsid w:val="002B5C76"/>
    <w:rsid w:val="002B6FCD"/>
    <w:rsid w:val="002B72A2"/>
    <w:rsid w:val="002B7380"/>
    <w:rsid w:val="002B78D0"/>
    <w:rsid w:val="002B7901"/>
    <w:rsid w:val="002C1698"/>
    <w:rsid w:val="002C1FC2"/>
    <w:rsid w:val="002C2049"/>
    <w:rsid w:val="002C4E32"/>
    <w:rsid w:val="002C50AC"/>
    <w:rsid w:val="002C5176"/>
    <w:rsid w:val="002C577F"/>
    <w:rsid w:val="002C5928"/>
    <w:rsid w:val="002C6682"/>
    <w:rsid w:val="002C7913"/>
    <w:rsid w:val="002D0CC4"/>
    <w:rsid w:val="002D0CD4"/>
    <w:rsid w:val="002D11C7"/>
    <w:rsid w:val="002D22C6"/>
    <w:rsid w:val="002D28A9"/>
    <w:rsid w:val="002D6A75"/>
    <w:rsid w:val="002D7CBC"/>
    <w:rsid w:val="002E3325"/>
    <w:rsid w:val="002E497E"/>
    <w:rsid w:val="002E754C"/>
    <w:rsid w:val="002E76D1"/>
    <w:rsid w:val="002F0500"/>
    <w:rsid w:val="002F1160"/>
    <w:rsid w:val="002F3B85"/>
    <w:rsid w:val="002F4BF6"/>
    <w:rsid w:val="002F5491"/>
    <w:rsid w:val="002F7A8F"/>
    <w:rsid w:val="00301671"/>
    <w:rsid w:val="00301881"/>
    <w:rsid w:val="0030211F"/>
    <w:rsid w:val="00302961"/>
    <w:rsid w:val="00303102"/>
    <w:rsid w:val="00304242"/>
    <w:rsid w:val="00307253"/>
    <w:rsid w:val="0030766B"/>
    <w:rsid w:val="003078EB"/>
    <w:rsid w:val="00307E7E"/>
    <w:rsid w:val="00310E2F"/>
    <w:rsid w:val="003114D0"/>
    <w:rsid w:val="00311AE0"/>
    <w:rsid w:val="00311D2E"/>
    <w:rsid w:val="003172DF"/>
    <w:rsid w:val="003177AF"/>
    <w:rsid w:val="00317BF7"/>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37EA"/>
    <w:rsid w:val="00333885"/>
    <w:rsid w:val="003343C4"/>
    <w:rsid w:val="00334497"/>
    <w:rsid w:val="00340CA2"/>
    <w:rsid w:val="00341086"/>
    <w:rsid w:val="00341E98"/>
    <w:rsid w:val="00343136"/>
    <w:rsid w:val="00343CFF"/>
    <w:rsid w:val="00344296"/>
    <w:rsid w:val="00346522"/>
    <w:rsid w:val="00347B43"/>
    <w:rsid w:val="0035034F"/>
    <w:rsid w:val="00351441"/>
    <w:rsid w:val="003524F1"/>
    <w:rsid w:val="00352768"/>
    <w:rsid w:val="00352E92"/>
    <w:rsid w:val="00352F7A"/>
    <w:rsid w:val="00356DCD"/>
    <w:rsid w:val="0036129D"/>
    <w:rsid w:val="0036311C"/>
    <w:rsid w:val="00364C9F"/>
    <w:rsid w:val="00366ABC"/>
    <w:rsid w:val="00370EB8"/>
    <w:rsid w:val="00371045"/>
    <w:rsid w:val="00371B42"/>
    <w:rsid w:val="00371CF8"/>
    <w:rsid w:val="00372ACE"/>
    <w:rsid w:val="00372D58"/>
    <w:rsid w:val="003731A5"/>
    <w:rsid w:val="003736DA"/>
    <w:rsid w:val="00373731"/>
    <w:rsid w:val="00374CFA"/>
    <w:rsid w:val="003751F0"/>
    <w:rsid w:val="00375524"/>
    <w:rsid w:val="0037564F"/>
    <w:rsid w:val="00381E63"/>
    <w:rsid w:val="00382A16"/>
    <w:rsid w:val="00383735"/>
    <w:rsid w:val="00383E57"/>
    <w:rsid w:val="00384699"/>
    <w:rsid w:val="00386215"/>
    <w:rsid w:val="003864E2"/>
    <w:rsid w:val="003866DC"/>
    <w:rsid w:val="003872AC"/>
    <w:rsid w:val="003900AC"/>
    <w:rsid w:val="00390999"/>
    <w:rsid w:val="003911D6"/>
    <w:rsid w:val="00391A9C"/>
    <w:rsid w:val="00391EEB"/>
    <w:rsid w:val="00394B7B"/>
    <w:rsid w:val="00395B87"/>
    <w:rsid w:val="00397E34"/>
    <w:rsid w:val="003A0565"/>
    <w:rsid w:val="003A0BB4"/>
    <w:rsid w:val="003A2CC7"/>
    <w:rsid w:val="003A32D9"/>
    <w:rsid w:val="003A33EF"/>
    <w:rsid w:val="003A415C"/>
    <w:rsid w:val="003A4774"/>
    <w:rsid w:val="003A5592"/>
    <w:rsid w:val="003A68DD"/>
    <w:rsid w:val="003A7050"/>
    <w:rsid w:val="003A7482"/>
    <w:rsid w:val="003A75FD"/>
    <w:rsid w:val="003A7DAF"/>
    <w:rsid w:val="003B397A"/>
    <w:rsid w:val="003B3BF6"/>
    <w:rsid w:val="003B4278"/>
    <w:rsid w:val="003B5520"/>
    <w:rsid w:val="003B6B7E"/>
    <w:rsid w:val="003C0075"/>
    <w:rsid w:val="003C06F7"/>
    <w:rsid w:val="003C1594"/>
    <w:rsid w:val="003C19B7"/>
    <w:rsid w:val="003C4059"/>
    <w:rsid w:val="003C50F1"/>
    <w:rsid w:val="003C511D"/>
    <w:rsid w:val="003C537A"/>
    <w:rsid w:val="003C5AFB"/>
    <w:rsid w:val="003C6392"/>
    <w:rsid w:val="003C681A"/>
    <w:rsid w:val="003C7010"/>
    <w:rsid w:val="003C7DAE"/>
    <w:rsid w:val="003D10A8"/>
    <w:rsid w:val="003D2083"/>
    <w:rsid w:val="003D20CC"/>
    <w:rsid w:val="003D2B0F"/>
    <w:rsid w:val="003D626C"/>
    <w:rsid w:val="003E03EB"/>
    <w:rsid w:val="003E0642"/>
    <w:rsid w:val="003E1363"/>
    <w:rsid w:val="003E450D"/>
    <w:rsid w:val="003E54FD"/>
    <w:rsid w:val="003E5C35"/>
    <w:rsid w:val="003F0943"/>
    <w:rsid w:val="003F13C4"/>
    <w:rsid w:val="003F142F"/>
    <w:rsid w:val="003F2486"/>
    <w:rsid w:val="003F2E64"/>
    <w:rsid w:val="003F6488"/>
    <w:rsid w:val="003F69CE"/>
    <w:rsid w:val="003F69D9"/>
    <w:rsid w:val="003F6F64"/>
    <w:rsid w:val="003F7813"/>
    <w:rsid w:val="00400B6B"/>
    <w:rsid w:val="004021B9"/>
    <w:rsid w:val="00402409"/>
    <w:rsid w:val="00404143"/>
    <w:rsid w:val="00404DB5"/>
    <w:rsid w:val="00405D0D"/>
    <w:rsid w:val="0041004D"/>
    <w:rsid w:val="004113D5"/>
    <w:rsid w:val="004115C0"/>
    <w:rsid w:val="004118D0"/>
    <w:rsid w:val="00411B33"/>
    <w:rsid w:val="004125BB"/>
    <w:rsid w:val="00412819"/>
    <w:rsid w:val="0041337E"/>
    <w:rsid w:val="004177E3"/>
    <w:rsid w:val="004202CB"/>
    <w:rsid w:val="00420D53"/>
    <w:rsid w:val="00421B88"/>
    <w:rsid w:val="004224B6"/>
    <w:rsid w:val="004235A0"/>
    <w:rsid w:val="004238B6"/>
    <w:rsid w:val="00423C1E"/>
    <w:rsid w:val="00423C6F"/>
    <w:rsid w:val="00424771"/>
    <w:rsid w:val="00425B35"/>
    <w:rsid w:val="00427801"/>
    <w:rsid w:val="004278C3"/>
    <w:rsid w:val="0043115E"/>
    <w:rsid w:val="00431E52"/>
    <w:rsid w:val="00433AB4"/>
    <w:rsid w:val="004347CE"/>
    <w:rsid w:val="0043546F"/>
    <w:rsid w:val="004370DA"/>
    <w:rsid w:val="00440AB9"/>
    <w:rsid w:val="004428A1"/>
    <w:rsid w:val="004430F8"/>
    <w:rsid w:val="00443C2E"/>
    <w:rsid w:val="004444B6"/>
    <w:rsid w:val="00445920"/>
    <w:rsid w:val="0044597A"/>
    <w:rsid w:val="00445D92"/>
    <w:rsid w:val="00447E3C"/>
    <w:rsid w:val="00451482"/>
    <w:rsid w:val="0045291A"/>
    <w:rsid w:val="00452BD8"/>
    <w:rsid w:val="004539E4"/>
    <w:rsid w:val="00453BAC"/>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5D81"/>
    <w:rsid w:val="004863EC"/>
    <w:rsid w:val="0048732C"/>
    <w:rsid w:val="00487542"/>
    <w:rsid w:val="00487ECF"/>
    <w:rsid w:val="0049074E"/>
    <w:rsid w:val="004907F4"/>
    <w:rsid w:val="00493172"/>
    <w:rsid w:val="00493333"/>
    <w:rsid w:val="00494414"/>
    <w:rsid w:val="004951BE"/>
    <w:rsid w:val="0049538C"/>
    <w:rsid w:val="004955BB"/>
    <w:rsid w:val="00497C14"/>
    <w:rsid w:val="004A0EA9"/>
    <w:rsid w:val="004A3533"/>
    <w:rsid w:val="004A3C5B"/>
    <w:rsid w:val="004A461C"/>
    <w:rsid w:val="004A4780"/>
    <w:rsid w:val="004A47DC"/>
    <w:rsid w:val="004A52B6"/>
    <w:rsid w:val="004B10E5"/>
    <w:rsid w:val="004B1F43"/>
    <w:rsid w:val="004B25A0"/>
    <w:rsid w:val="004B29BE"/>
    <w:rsid w:val="004B366C"/>
    <w:rsid w:val="004B3A45"/>
    <w:rsid w:val="004B4063"/>
    <w:rsid w:val="004B4F7D"/>
    <w:rsid w:val="004B4F84"/>
    <w:rsid w:val="004B5505"/>
    <w:rsid w:val="004B55E8"/>
    <w:rsid w:val="004B5CB6"/>
    <w:rsid w:val="004C1341"/>
    <w:rsid w:val="004C21C9"/>
    <w:rsid w:val="004C2C00"/>
    <w:rsid w:val="004C2FA8"/>
    <w:rsid w:val="004C3497"/>
    <w:rsid w:val="004C352C"/>
    <w:rsid w:val="004C3BA7"/>
    <w:rsid w:val="004C4404"/>
    <w:rsid w:val="004C5035"/>
    <w:rsid w:val="004C5276"/>
    <w:rsid w:val="004C5F47"/>
    <w:rsid w:val="004C6D56"/>
    <w:rsid w:val="004C7E96"/>
    <w:rsid w:val="004C7EA7"/>
    <w:rsid w:val="004D1014"/>
    <w:rsid w:val="004D3633"/>
    <w:rsid w:val="004D66DB"/>
    <w:rsid w:val="004D79D4"/>
    <w:rsid w:val="004E0978"/>
    <w:rsid w:val="004E14D9"/>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A54"/>
    <w:rsid w:val="00505FAA"/>
    <w:rsid w:val="00506095"/>
    <w:rsid w:val="00506ACA"/>
    <w:rsid w:val="00506CD0"/>
    <w:rsid w:val="00507183"/>
    <w:rsid w:val="00507D6F"/>
    <w:rsid w:val="00507F1F"/>
    <w:rsid w:val="005107FD"/>
    <w:rsid w:val="00510980"/>
    <w:rsid w:val="00511B34"/>
    <w:rsid w:val="00512AEC"/>
    <w:rsid w:val="00512D81"/>
    <w:rsid w:val="0051504C"/>
    <w:rsid w:val="005172B1"/>
    <w:rsid w:val="005203AA"/>
    <w:rsid w:val="00520506"/>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3AE7"/>
    <w:rsid w:val="0054471F"/>
    <w:rsid w:val="00544A64"/>
    <w:rsid w:val="005459F5"/>
    <w:rsid w:val="00545B68"/>
    <w:rsid w:val="00546CB9"/>
    <w:rsid w:val="00546DF7"/>
    <w:rsid w:val="0055121B"/>
    <w:rsid w:val="00551751"/>
    <w:rsid w:val="00552B6E"/>
    <w:rsid w:val="00552E23"/>
    <w:rsid w:val="005545A5"/>
    <w:rsid w:val="00554715"/>
    <w:rsid w:val="00555D64"/>
    <w:rsid w:val="00556D4F"/>
    <w:rsid w:val="00557A71"/>
    <w:rsid w:val="00560AED"/>
    <w:rsid w:val="005615FA"/>
    <w:rsid w:val="0056231D"/>
    <w:rsid w:val="005623DD"/>
    <w:rsid w:val="00563B23"/>
    <w:rsid w:val="00563D01"/>
    <w:rsid w:val="0056452E"/>
    <w:rsid w:val="005654C8"/>
    <w:rsid w:val="005656FB"/>
    <w:rsid w:val="00566995"/>
    <w:rsid w:val="00567010"/>
    <w:rsid w:val="00567482"/>
    <w:rsid w:val="005678EB"/>
    <w:rsid w:val="00570CA6"/>
    <w:rsid w:val="00570F18"/>
    <w:rsid w:val="0057123D"/>
    <w:rsid w:val="0057170D"/>
    <w:rsid w:val="005720AF"/>
    <w:rsid w:val="0057387E"/>
    <w:rsid w:val="00573BFA"/>
    <w:rsid w:val="00573CC7"/>
    <w:rsid w:val="0057495C"/>
    <w:rsid w:val="005758A5"/>
    <w:rsid w:val="0057613C"/>
    <w:rsid w:val="0057636A"/>
    <w:rsid w:val="00576443"/>
    <w:rsid w:val="00583941"/>
    <w:rsid w:val="005847DC"/>
    <w:rsid w:val="005850C7"/>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47B7"/>
    <w:rsid w:val="005A5AB1"/>
    <w:rsid w:val="005A658B"/>
    <w:rsid w:val="005B07C4"/>
    <w:rsid w:val="005B19CD"/>
    <w:rsid w:val="005B19D9"/>
    <w:rsid w:val="005B1B79"/>
    <w:rsid w:val="005B24EA"/>
    <w:rsid w:val="005B2F2A"/>
    <w:rsid w:val="005B33DF"/>
    <w:rsid w:val="005B55C1"/>
    <w:rsid w:val="005B6F85"/>
    <w:rsid w:val="005C00A9"/>
    <w:rsid w:val="005C20F7"/>
    <w:rsid w:val="005C22F8"/>
    <w:rsid w:val="005C3120"/>
    <w:rsid w:val="005C35C7"/>
    <w:rsid w:val="005C4078"/>
    <w:rsid w:val="005C45F6"/>
    <w:rsid w:val="005C5039"/>
    <w:rsid w:val="005C5B11"/>
    <w:rsid w:val="005C5B2D"/>
    <w:rsid w:val="005C6A6C"/>
    <w:rsid w:val="005C74D1"/>
    <w:rsid w:val="005C7C7C"/>
    <w:rsid w:val="005C7FC0"/>
    <w:rsid w:val="005D0735"/>
    <w:rsid w:val="005D1C98"/>
    <w:rsid w:val="005D37B5"/>
    <w:rsid w:val="005D3B85"/>
    <w:rsid w:val="005D3F78"/>
    <w:rsid w:val="005D49F1"/>
    <w:rsid w:val="005D4A01"/>
    <w:rsid w:val="005D4A52"/>
    <w:rsid w:val="005D56B3"/>
    <w:rsid w:val="005D5B6F"/>
    <w:rsid w:val="005D6494"/>
    <w:rsid w:val="005D72C2"/>
    <w:rsid w:val="005D79E1"/>
    <w:rsid w:val="005D7C68"/>
    <w:rsid w:val="005E1A38"/>
    <w:rsid w:val="005E2179"/>
    <w:rsid w:val="005E27A3"/>
    <w:rsid w:val="005E2AA8"/>
    <w:rsid w:val="005E45D5"/>
    <w:rsid w:val="005E616C"/>
    <w:rsid w:val="005E6624"/>
    <w:rsid w:val="005E66A3"/>
    <w:rsid w:val="005F0478"/>
    <w:rsid w:val="005F1FA6"/>
    <w:rsid w:val="005F34DA"/>
    <w:rsid w:val="005F4989"/>
    <w:rsid w:val="005F54F7"/>
    <w:rsid w:val="00601C76"/>
    <w:rsid w:val="006031EF"/>
    <w:rsid w:val="0060337A"/>
    <w:rsid w:val="006044C8"/>
    <w:rsid w:val="00604C17"/>
    <w:rsid w:val="006058F1"/>
    <w:rsid w:val="006078A6"/>
    <w:rsid w:val="006108D1"/>
    <w:rsid w:val="00611055"/>
    <w:rsid w:val="00611687"/>
    <w:rsid w:val="00612491"/>
    <w:rsid w:val="00613269"/>
    <w:rsid w:val="00614F7E"/>
    <w:rsid w:val="0061601E"/>
    <w:rsid w:val="0061643A"/>
    <w:rsid w:val="00617053"/>
    <w:rsid w:val="00617E2A"/>
    <w:rsid w:val="00620ECE"/>
    <w:rsid w:val="0062106A"/>
    <w:rsid w:val="0062230F"/>
    <w:rsid w:val="006226CD"/>
    <w:rsid w:val="00622E77"/>
    <w:rsid w:val="00623758"/>
    <w:rsid w:val="0062398C"/>
    <w:rsid w:val="00624AE2"/>
    <w:rsid w:val="00624DDA"/>
    <w:rsid w:val="00627B44"/>
    <w:rsid w:val="00627C23"/>
    <w:rsid w:val="006305EF"/>
    <w:rsid w:val="00631992"/>
    <w:rsid w:val="00631E30"/>
    <w:rsid w:val="00632705"/>
    <w:rsid w:val="00636E7F"/>
    <w:rsid w:val="00640475"/>
    <w:rsid w:val="006404A9"/>
    <w:rsid w:val="006419BA"/>
    <w:rsid w:val="00641D35"/>
    <w:rsid w:val="00641F34"/>
    <w:rsid w:val="00642018"/>
    <w:rsid w:val="00642A36"/>
    <w:rsid w:val="006437A9"/>
    <w:rsid w:val="00643F9F"/>
    <w:rsid w:val="006440ED"/>
    <w:rsid w:val="00645857"/>
    <w:rsid w:val="006471C4"/>
    <w:rsid w:val="00650A33"/>
    <w:rsid w:val="00652AEE"/>
    <w:rsid w:val="00653433"/>
    <w:rsid w:val="00653727"/>
    <w:rsid w:val="00653C29"/>
    <w:rsid w:val="00654B04"/>
    <w:rsid w:val="0065650A"/>
    <w:rsid w:val="0065660F"/>
    <w:rsid w:val="00656EB3"/>
    <w:rsid w:val="006573B5"/>
    <w:rsid w:val="00657D5A"/>
    <w:rsid w:val="00660480"/>
    <w:rsid w:val="00661276"/>
    <w:rsid w:val="00661FF2"/>
    <w:rsid w:val="00662C87"/>
    <w:rsid w:val="0066345D"/>
    <w:rsid w:val="006652A0"/>
    <w:rsid w:val="00666290"/>
    <w:rsid w:val="00670027"/>
    <w:rsid w:val="00671D22"/>
    <w:rsid w:val="00673018"/>
    <w:rsid w:val="00675EB3"/>
    <w:rsid w:val="0067608C"/>
    <w:rsid w:val="00676843"/>
    <w:rsid w:val="00676BD2"/>
    <w:rsid w:val="00677228"/>
    <w:rsid w:val="00680068"/>
    <w:rsid w:val="006801CA"/>
    <w:rsid w:val="00680B56"/>
    <w:rsid w:val="00680C92"/>
    <w:rsid w:val="00680D4C"/>
    <w:rsid w:val="00682099"/>
    <w:rsid w:val="00682746"/>
    <w:rsid w:val="00683717"/>
    <w:rsid w:val="00684132"/>
    <w:rsid w:val="006844B9"/>
    <w:rsid w:val="00685707"/>
    <w:rsid w:val="00685B75"/>
    <w:rsid w:val="006867CC"/>
    <w:rsid w:val="00686E95"/>
    <w:rsid w:val="00690740"/>
    <w:rsid w:val="00690C50"/>
    <w:rsid w:val="006923A6"/>
    <w:rsid w:val="00692EE8"/>
    <w:rsid w:val="00693595"/>
    <w:rsid w:val="0069454C"/>
    <w:rsid w:val="00694CCF"/>
    <w:rsid w:val="00694D57"/>
    <w:rsid w:val="00694F26"/>
    <w:rsid w:val="0069509B"/>
    <w:rsid w:val="00696362"/>
    <w:rsid w:val="00697902"/>
    <w:rsid w:val="00697F0A"/>
    <w:rsid w:val="006A04AE"/>
    <w:rsid w:val="006A068B"/>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3B12"/>
    <w:rsid w:val="006C44DF"/>
    <w:rsid w:val="006C4633"/>
    <w:rsid w:val="006C5636"/>
    <w:rsid w:val="006C6C67"/>
    <w:rsid w:val="006C79D3"/>
    <w:rsid w:val="006D06F9"/>
    <w:rsid w:val="006D0805"/>
    <w:rsid w:val="006D0AA8"/>
    <w:rsid w:val="006D2153"/>
    <w:rsid w:val="006D4517"/>
    <w:rsid w:val="006D5F3A"/>
    <w:rsid w:val="006D6BCD"/>
    <w:rsid w:val="006D7A97"/>
    <w:rsid w:val="006D7AF1"/>
    <w:rsid w:val="006D7B5A"/>
    <w:rsid w:val="006E0925"/>
    <w:rsid w:val="006E1E9E"/>
    <w:rsid w:val="006E21DA"/>
    <w:rsid w:val="006E4279"/>
    <w:rsid w:val="006E4913"/>
    <w:rsid w:val="006E5555"/>
    <w:rsid w:val="006E5A3B"/>
    <w:rsid w:val="006E5B47"/>
    <w:rsid w:val="006E5C5D"/>
    <w:rsid w:val="006E78BA"/>
    <w:rsid w:val="006E7DAC"/>
    <w:rsid w:val="006F1295"/>
    <w:rsid w:val="006F15CC"/>
    <w:rsid w:val="006F1CCA"/>
    <w:rsid w:val="006F2C0E"/>
    <w:rsid w:val="006F4F09"/>
    <w:rsid w:val="006F508D"/>
    <w:rsid w:val="006F51CE"/>
    <w:rsid w:val="006F63C0"/>
    <w:rsid w:val="006F640B"/>
    <w:rsid w:val="0070043C"/>
    <w:rsid w:val="007004B5"/>
    <w:rsid w:val="007046FB"/>
    <w:rsid w:val="00704C2C"/>
    <w:rsid w:val="00705A61"/>
    <w:rsid w:val="00710424"/>
    <w:rsid w:val="007109F6"/>
    <w:rsid w:val="007133CB"/>
    <w:rsid w:val="00713F83"/>
    <w:rsid w:val="00714ED2"/>
    <w:rsid w:val="00715F45"/>
    <w:rsid w:val="00716604"/>
    <w:rsid w:val="00716A52"/>
    <w:rsid w:val="0071719A"/>
    <w:rsid w:val="0071726D"/>
    <w:rsid w:val="007176A7"/>
    <w:rsid w:val="007178FF"/>
    <w:rsid w:val="007204B4"/>
    <w:rsid w:val="00720781"/>
    <w:rsid w:val="0072091B"/>
    <w:rsid w:val="00722B07"/>
    <w:rsid w:val="00722BC9"/>
    <w:rsid w:val="00723632"/>
    <w:rsid w:val="007238DA"/>
    <w:rsid w:val="00725052"/>
    <w:rsid w:val="00725342"/>
    <w:rsid w:val="0072534D"/>
    <w:rsid w:val="00725C3B"/>
    <w:rsid w:val="00725F39"/>
    <w:rsid w:val="00727027"/>
    <w:rsid w:val="0073000D"/>
    <w:rsid w:val="0073022F"/>
    <w:rsid w:val="00731DF1"/>
    <w:rsid w:val="00731F2B"/>
    <w:rsid w:val="0073409B"/>
    <w:rsid w:val="00734AFD"/>
    <w:rsid w:val="00735E32"/>
    <w:rsid w:val="00736BEA"/>
    <w:rsid w:val="007375D0"/>
    <w:rsid w:val="00740095"/>
    <w:rsid w:val="0074159C"/>
    <w:rsid w:val="00742862"/>
    <w:rsid w:val="00742FD0"/>
    <w:rsid w:val="007432EF"/>
    <w:rsid w:val="00743FE9"/>
    <w:rsid w:val="0074497D"/>
    <w:rsid w:val="00745DD0"/>
    <w:rsid w:val="00745F44"/>
    <w:rsid w:val="00746455"/>
    <w:rsid w:val="00746F96"/>
    <w:rsid w:val="0074770C"/>
    <w:rsid w:val="00750405"/>
    <w:rsid w:val="007507C1"/>
    <w:rsid w:val="00751546"/>
    <w:rsid w:val="007541CE"/>
    <w:rsid w:val="007545E5"/>
    <w:rsid w:val="00755577"/>
    <w:rsid w:val="00755878"/>
    <w:rsid w:val="00756B91"/>
    <w:rsid w:val="00757E96"/>
    <w:rsid w:val="00760A86"/>
    <w:rsid w:val="00761F5F"/>
    <w:rsid w:val="0076741B"/>
    <w:rsid w:val="00770C0E"/>
    <w:rsid w:val="00771D19"/>
    <w:rsid w:val="0077277F"/>
    <w:rsid w:val="00774584"/>
    <w:rsid w:val="007747BE"/>
    <w:rsid w:val="00781625"/>
    <w:rsid w:val="00781792"/>
    <w:rsid w:val="00781A3A"/>
    <w:rsid w:val="00782512"/>
    <w:rsid w:val="007826B4"/>
    <w:rsid w:val="00783557"/>
    <w:rsid w:val="0078405C"/>
    <w:rsid w:val="00785A6D"/>
    <w:rsid w:val="00786B68"/>
    <w:rsid w:val="007874FB"/>
    <w:rsid w:val="007915AD"/>
    <w:rsid w:val="00792CC3"/>
    <w:rsid w:val="00794013"/>
    <w:rsid w:val="007947C6"/>
    <w:rsid w:val="00794CF3"/>
    <w:rsid w:val="00794E4C"/>
    <w:rsid w:val="00795109"/>
    <w:rsid w:val="0079614E"/>
    <w:rsid w:val="007A0160"/>
    <w:rsid w:val="007A027B"/>
    <w:rsid w:val="007A327D"/>
    <w:rsid w:val="007A3937"/>
    <w:rsid w:val="007A40C6"/>
    <w:rsid w:val="007A4B43"/>
    <w:rsid w:val="007A4F20"/>
    <w:rsid w:val="007A67F3"/>
    <w:rsid w:val="007A6AA0"/>
    <w:rsid w:val="007A6B19"/>
    <w:rsid w:val="007B0E88"/>
    <w:rsid w:val="007B3045"/>
    <w:rsid w:val="007B391E"/>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5C1C"/>
    <w:rsid w:val="007C5E71"/>
    <w:rsid w:val="007C730D"/>
    <w:rsid w:val="007C7393"/>
    <w:rsid w:val="007D0C6A"/>
    <w:rsid w:val="007D391B"/>
    <w:rsid w:val="007D3B29"/>
    <w:rsid w:val="007D43E6"/>
    <w:rsid w:val="007D4EC6"/>
    <w:rsid w:val="007D5CD8"/>
    <w:rsid w:val="007D6974"/>
    <w:rsid w:val="007D7780"/>
    <w:rsid w:val="007E0468"/>
    <w:rsid w:val="007E06B8"/>
    <w:rsid w:val="007E0A4B"/>
    <w:rsid w:val="007E326A"/>
    <w:rsid w:val="007E3EDF"/>
    <w:rsid w:val="007E4CDB"/>
    <w:rsid w:val="007E541D"/>
    <w:rsid w:val="007E548B"/>
    <w:rsid w:val="007F0468"/>
    <w:rsid w:val="007F0994"/>
    <w:rsid w:val="007F1028"/>
    <w:rsid w:val="007F12E2"/>
    <w:rsid w:val="007F1637"/>
    <w:rsid w:val="007F1B11"/>
    <w:rsid w:val="007F1FBA"/>
    <w:rsid w:val="007F4488"/>
    <w:rsid w:val="007F4ABD"/>
    <w:rsid w:val="007F4E8F"/>
    <w:rsid w:val="007F694C"/>
    <w:rsid w:val="007F7212"/>
    <w:rsid w:val="007F74CA"/>
    <w:rsid w:val="007F7B5C"/>
    <w:rsid w:val="00800307"/>
    <w:rsid w:val="00800365"/>
    <w:rsid w:val="00800399"/>
    <w:rsid w:val="00800A09"/>
    <w:rsid w:val="008014EC"/>
    <w:rsid w:val="00801F39"/>
    <w:rsid w:val="0080235B"/>
    <w:rsid w:val="0080294E"/>
    <w:rsid w:val="008029BA"/>
    <w:rsid w:val="00804FC7"/>
    <w:rsid w:val="008075EA"/>
    <w:rsid w:val="00807DD1"/>
    <w:rsid w:val="008111C3"/>
    <w:rsid w:val="008125BE"/>
    <w:rsid w:val="00812CF5"/>
    <w:rsid w:val="00813471"/>
    <w:rsid w:val="00814198"/>
    <w:rsid w:val="00814390"/>
    <w:rsid w:val="00814679"/>
    <w:rsid w:val="00814849"/>
    <w:rsid w:val="00820EE3"/>
    <w:rsid w:val="00821B02"/>
    <w:rsid w:val="00821F46"/>
    <w:rsid w:val="00822050"/>
    <w:rsid w:val="00822B92"/>
    <w:rsid w:val="00825488"/>
    <w:rsid w:val="00825653"/>
    <w:rsid w:val="00825D4F"/>
    <w:rsid w:val="00827DBA"/>
    <w:rsid w:val="00830D57"/>
    <w:rsid w:val="00832A31"/>
    <w:rsid w:val="008346B1"/>
    <w:rsid w:val="00835916"/>
    <w:rsid w:val="0083615A"/>
    <w:rsid w:val="0083650C"/>
    <w:rsid w:val="0084045B"/>
    <w:rsid w:val="00841B72"/>
    <w:rsid w:val="0084645A"/>
    <w:rsid w:val="0084658D"/>
    <w:rsid w:val="0084695E"/>
    <w:rsid w:val="0084755C"/>
    <w:rsid w:val="00850166"/>
    <w:rsid w:val="00850650"/>
    <w:rsid w:val="00850E5D"/>
    <w:rsid w:val="00851E91"/>
    <w:rsid w:val="008524C4"/>
    <w:rsid w:val="0085268C"/>
    <w:rsid w:val="00854ABD"/>
    <w:rsid w:val="00856ED6"/>
    <w:rsid w:val="00857614"/>
    <w:rsid w:val="00861070"/>
    <w:rsid w:val="0086275F"/>
    <w:rsid w:val="00862CAD"/>
    <w:rsid w:val="00864A50"/>
    <w:rsid w:val="00865C11"/>
    <w:rsid w:val="00866290"/>
    <w:rsid w:val="00866978"/>
    <w:rsid w:val="00866CD7"/>
    <w:rsid w:val="00866D9F"/>
    <w:rsid w:val="00871D3C"/>
    <w:rsid w:val="00872129"/>
    <w:rsid w:val="00872D1B"/>
    <w:rsid w:val="00872DC6"/>
    <w:rsid w:val="008730BC"/>
    <w:rsid w:val="00873ABC"/>
    <w:rsid w:val="0087451E"/>
    <w:rsid w:val="00874D66"/>
    <w:rsid w:val="0087590B"/>
    <w:rsid w:val="00876AD9"/>
    <w:rsid w:val="00876BDD"/>
    <w:rsid w:val="00877A7A"/>
    <w:rsid w:val="00877D54"/>
    <w:rsid w:val="00880394"/>
    <w:rsid w:val="0088208A"/>
    <w:rsid w:val="00882EAC"/>
    <w:rsid w:val="0088306B"/>
    <w:rsid w:val="00883B41"/>
    <w:rsid w:val="008843A6"/>
    <w:rsid w:val="008874FC"/>
    <w:rsid w:val="0088798F"/>
    <w:rsid w:val="00890B69"/>
    <w:rsid w:val="0089248A"/>
    <w:rsid w:val="008933DC"/>
    <w:rsid w:val="008936B3"/>
    <w:rsid w:val="00893807"/>
    <w:rsid w:val="00893890"/>
    <w:rsid w:val="00894515"/>
    <w:rsid w:val="008957E4"/>
    <w:rsid w:val="008958D8"/>
    <w:rsid w:val="00896489"/>
    <w:rsid w:val="00896FD1"/>
    <w:rsid w:val="008976A7"/>
    <w:rsid w:val="008A0E63"/>
    <w:rsid w:val="008A114F"/>
    <w:rsid w:val="008A2257"/>
    <w:rsid w:val="008A2C50"/>
    <w:rsid w:val="008A33CE"/>
    <w:rsid w:val="008A3903"/>
    <w:rsid w:val="008B0362"/>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68A"/>
    <w:rsid w:val="008C1EF2"/>
    <w:rsid w:val="008C2F43"/>
    <w:rsid w:val="008C3B68"/>
    <w:rsid w:val="008C5253"/>
    <w:rsid w:val="008C5686"/>
    <w:rsid w:val="008C65AC"/>
    <w:rsid w:val="008C6BFB"/>
    <w:rsid w:val="008C6D1F"/>
    <w:rsid w:val="008C7321"/>
    <w:rsid w:val="008C74DA"/>
    <w:rsid w:val="008C7C59"/>
    <w:rsid w:val="008D094A"/>
    <w:rsid w:val="008D132A"/>
    <w:rsid w:val="008D1E99"/>
    <w:rsid w:val="008D2B6E"/>
    <w:rsid w:val="008D394A"/>
    <w:rsid w:val="008D6465"/>
    <w:rsid w:val="008E150C"/>
    <w:rsid w:val="008E1EFC"/>
    <w:rsid w:val="008E4F5C"/>
    <w:rsid w:val="008E58BF"/>
    <w:rsid w:val="008F0512"/>
    <w:rsid w:val="008F19A4"/>
    <w:rsid w:val="008F1A81"/>
    <w:rsid w:val="008F2125"/>
    <w:rsid w:val="008F3B73"/>
    <w:rsid w:val="008F7D0D"/>
    <w:rsid w:val="00900CE5"/>
    <w:rsid w:val="00901E9B"/>
    <w:rsid w:val="00902C6A"/>
    <w:rsid w:val="0090415F"/>
    <w:rsid w:val="00904CA9"/>
    <w:rsid w:val="00905911"/>
    <w:rsid w:val="00906090"/>
    <w:rsid w:val="00906476"/>
    <w:rsid w:val="00906A9A"/>
    <w:rsid w:val="00907061"/>
    <w:rsid w:val="00907834"/>
    <w:rsid w:val="0090788B"/>
    <w:rsid w:val="009079B2"/>
    <w:rsid w:val="00907A5D"/>
    <w:rsid w:val="009118A0"/>
    <w:rsid w:val="00911C28"/>
    <w:rsid w:val="00913D48"/>
    <w:rsid w:val="00913D96"/>
    <w:rsid w:val="009145F6"/>
    <w:rsid w:val="00917246"/>
    <w:rsid w:val="00917547"/>
    <w:rsid w:val="0091759A"/>
    <w:rsid w:val="00920540"/>
    <w:rsid w:val="00920F36"/>
    <w:rsid w:val="00922697"/>
    <w:rsid w:val="00922F8C"/>
    <w:rsid w:val="0092325A"/>
    <w:rsid w:val="00924BD8"/>
    <w:rsid w:val="009262FA"/>
    <w:rsid w:val="0092657B"/>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4793F"/>
    <w:rsid w:val="00950842"/>
    <w:rsid w:val="00950C28"/>
    <w:rsid w:val="00951993"/>
    <w:rsid w:val="0095216E"/>
    <w:rsid w:val="00952D7A"/>
    <w:rsid w:val="00953E57"/>
    <w:rsid w:val="00954170"/>
    <w:rsid w:val="0095420F"/>
    <w:rsid w:val="00954CC0"/>
    <w:rsid w:val="00955BB4"/>
    <w:rsid w:val="00955C25"/>
    <w:rsid w:val="00956BB5"/>
    <w:rsid w:val="009572E5"/>
    <w:rsid w:val="00957676"/>
    <w:rsid w:val="009617E7"/>
    <w:rsid w:val="009621B2"/>
    <w:rsid w:val="00963A1A"/>
    <w:rsid w:val="00963E1E"/>
    <w:rsid w:val="00964590"/>
    <w:rsid w:val="009653DC"/>
    <w:rsid w:val="0096654A"/>
    <w:rsid w:val="009677E3"/>
    <w:rsid w:val="00971187"/>
    <w:rsid w:val="00971196"/>
    <w:rsid w:val="009727AA"/>
    <w:rsid w:val="00973755"/>
    <w:rsid w:val="00976040"/>
    <w:rsid w:val="0097729B"/>
    <w:rsid w:val="00980736"/>
    <w:rsid w:val="009807A1"/>
    <w:rsid w:val="00981704"/>
    <w:rsid w:val="0098175A"/>
    <w:rsid w:val="0098182C"/>
    <w:rsid w:val="00981D80"/>
    <w:rsid w:val="00983F39"/>
    <w:rsid w:val="00984390"/>
    <w:rsid w:val="00985839"/>
    <w:rsid w:val="0099125B"/>
    <w:rsid w:val="00992952"/>
    <w:rsid w:val="00992D61"/>
    <w:rsid w:val="00995929"/>
    <w:rsid w:val="00995C91"/>
    <w:rsid w:val="00995EE7"/>
    <w:rsid w:val="00996652"/>
    <w:rsid w:val="00996BF1"/>
    <w:rsid w:val="00997009"/>
    <w:rsid w:val="0099745E"/>
    <w:rsid w:val="009A03A3"/>
    <w:rsid w:val="009A2ACF"/>
    <w:rsid w:val="009A306E"/>
    <w:rsid w:val="009A481E"/>
    <w:rsid w:val="009A5D1F"/>
    <w:rsid w:val="009B0257"/>
    <w:rsid w:val="009B03BC"/>
    <w:rsid w:val="009B06F1"/>
    <w:rsid w:val="009B3397"/>
    <w:rsid w:val="009B34F2"/>
    <w:rsid w:val="009B3C36"/>
    <w:rsid w:val="009B51E3"/>
    <w:rsid w:val="009B5654"/>
    <w:rsid w:val="009B5EC1"/>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D7B82"/>
    <w:rsid w:val="009E024C"/>
    <w:rsid w:val="009E05B6"/>
    <w:rsid w:val="009E590F"/>
    <w:rsid w:val="009E6ACF"/>
    <w:rsid w:val="009F0C32"/>
    <w:rsid w:val="009F1649"/>
    <w:rsid w:val="009F26BC"/>
    <w:rsid w:val="009F461F"/>
    <w:rsid w:val="00A006D3"/>
    <w:rsid w:val="00A01305"/>
    <w:rsid w:val="00A01EEF"/>
    <w:rsid w:val="00A0259C"/>
    <w:rsid w:val="00A036CB"/>
    <w:rsid w:val="00A0546A"/>
    <w:rsid w:val="00A05EC0"/>
    <w:rsid w:val="00A061CA"/>
    <w:rsid w:val="00A06AAA"/>
    <w:rsid w:val="00A07A49"/>
    <w:rsid w:val="00A10E38"/>
    <w:rsid w:val="00A11502"/>
    <w:rsid w:val="00A12ECE"/>
    <w:rsid w:val="00A135B3"/>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47F1E"/>
    <w:rsid w:val="00A50344"/>
    <w:rsid w:val="00A503E9"/>
    <w:rsid w:val="00A50E65"/>
    <w:rsid w:val="00A52058"/>
    <w:rsid w:val="00A52E2E"/>
    <w:rsid w:val="00A52F63"/>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58CB"/>
    <w:rsid w:val="00A7627C"/>
    <w:rsid w:val="00A81405"/>
    <w:rsid w:val="00A82114"/>
    <w:rsid w:val="00A82FF0"/>
    <w:rsid w:val="00A83207"/>
    <w:rsid w:val="00A83BED"/>
    <w:rsid w:val="00A8488F"/>
    <w:rsid w:val="00A85DA3"/>
    <w:rsid w:val="00A86BC6"/>
    <w:rsid w:val="00A87D4F"/>
    <w:rsid w:val="00A92670"/>
    <w:rsid w:val="00A92FDC"/>
    <w:rsid w:val="00A96434"/>
    <w:rsid w:val="00A96AAF"/>
    <w:rsid w:val="00A979BC"/>
    <w:rsid w:val="00A97F60"/>
    <w:rsid w:val="00AA03B1"/>
    <w:rsid w:val="00AA2944"/>
    <w:rsid w:val="00AA2A82"/>
    <w:rsid w:val="00AA3179"/>
    <w:rsid w:val="00AB0B41"/>
    <w:rsid w:val="00AB140A"/>
    <w:rsid w:val="00AB1635"/>
    <w:rsid w:val="00AB297D"/>
    <w:rsid w:val="00AB759C"/>
    <w:rsid w:val="00AB7830"/>
    <w:rsid w:val="00AC031E"/>
    <w:rsid w:val="00AC31F2"/>
    <w:rsid w:val="00AC35C4"/>
    <w:rsid w:val="00AC3DCF"/>
    <w:rsid w:val="00AC4154"/>
    <w:rsid w:val="00AC587E"/>
    <w:rsid w:val="00AD0413"/>
    <w:rsid w:val="00AD1058"/>
    <w:rsid w:val="00AD18B4"/>
    <w:rsid w:val="00AD4FB0"/>
    <w:rsid w:val="00AD7F13"/>
    <w:rsid w:val="00AE04A8"/>
    <w:rsid w:val="00AE117D"/>
    <w:rsid w:val="00AE1842"/>
    <w:rsid w:val="00AE1843"/>
    <w:rsid w:val="00AE1EEC"/>
    <w:rsid w:val="00AE23F9"/>
    <w:rsid w:val="00AE2430"/>
    <w:rsid w:val="00AE4000"/>
    <w:rsid w:val="00AE52CE"/>
    <w:rsid w:val="00AE5452"/>
    <w:rsid w:val="00AE5EF5"/>
    <w:rsid w:val="00AE6188"/>
    <w:rsid w:val="00AE7AF0"/>
    <w:rsid w:val="00AF03DC"/>
    <w:rsid w:val="00AF258A"/>
    <w:rsid w:val="00AF4AE5"/>
    <w:rsid w:val="00AF5D1E"/>
    <w:rsid w:val="00AF6D11"/>
    <w:rsid w:val="00AF76C6"/>
    <w:rsid w:val="00B0165E"/>
    <w:rsid w:val="00B01B17"/>
    <w:rsid w:val="00B04103"/>
    <w:rsid w:val="00B047E9"/>
    <w:rsid w:val="00B050FB"/>
    <w:rsid w:val="00B05867"/>
    <w:rsid w:val="00B07BDD"/>
    <w:rsid w:val="00B10EC0"/>
    <w:rsid w:val="00B123FF"/>
    <w:rsid w:val="00B134B6"/>
    <w:rsid w:val="00B142F4"/>
    <w:rsid w:val="00B14448"/>
    <w:rsid w:val="00B16061"/>
    <w:rsid w:val="00B1645D"/>
    <w:rsid w:val="00B16CC2"/>
    <w:rsid w:val="00B17989"/>
    <w:rsid w:val="00B17C66"/>
    <w:rsid w:val="00B17DAF"/>
    <w:rsid w:val="00B17E1E"/>
    <w:rsid w:val="00B21C56"/>
    <w:rsid w:val="00B24AE7"/>
    <w:rsid w:val="00B25103"/>
    <w:rsid w:val="00B27A8F"/>
    <w:rsid w:val="00B27B2E"/>
    <w:rsid w:val="00B27CF4"/>
    <w:rsid w:val="00B31421"/>
    <w:rsid w:val="00B31D2B"/>
    <w:rsid w:val="00B31E2C"/>
    <w:rsid w:val="00B32E44"/>
    <w:rsid w:val="00B336AA"/>
    <w:rsid w:val="00B34173"/>
    <w:rsid w:val="00B34B98"/>
    <w:rsid w:val="00B3571B"/>
    <w:rsid w:val="00B362ED"/>
    <w:rsid w:val="00B36952"/>
    <w:rsid w:val="00B375B6"/>
    <w:rsid w:val="00B40432"/>
    <w:rsid w:val="00B410C1"/>
    <w:rsid w:val="00B41218"/>
    <w:rsid w:val="00B4166B"/>
    <w:rsid w:val="00B418ED"/>
    <w:rsid w:val="00B42554"/>
    <w:rsid w:val="00B42703"/>
    <w:rsid w:val="00B43502"/>
    <w:rsid w:val="00B4391E"/>
    <w:rsid w:val="00B43ED0"/>
    <w:rsid w:val="00B45081"/>
    <w:rsid w:val="00B4549F"/>
    <w:rsid w:val="00B46290"/>
    <w:rsid w:val="00B46384"/>
    <w:rsid w:val="00B46FA7"/>
    <w:rsid w:val="00B503D0"/>
    <w:rsid w:val="00B513B4"/>
    <w:rsid w:val="00B514DC"/>
    <w:rsid w:val="00B522AA"/>
    <w:rsid w:val="00B56E38"/>
    <w:rsid w:val="00B60A84"/>
    <w:rsid w:val="00B60AED"/>
    <w:rsid w:val="00B60B0D"/>
    <w:rsid w:val="00B610DD"/>
    <w:rsid w:val="00B61D65"/>
    <w:rsid w:val="00B627D5"/>
    <w:rsid w:val="00B62948"/>
    <w:rsid w:val="00B62AB3"/>
    <w:rsid w:val="00B63B5B"/>
    <w:rsid w:val="00B64AD4"/>
    <w:rsid w:val="00B64E8C"/>
    <w:rsid w:val="00B64E9D"/>
    <w:rsid w:val="00B6579A"/>
    <w:rsid w:val="00B678D4"/>
    <w:rsid w:val="00B708E8"/>
    <w:rsid w:val="00B711F9"/>
    <w:rsid w:val="00B734FD"/>
    <w:rsid w:val="00B738CA"/>
    <w:rsid w:val="00B7404A"/>
    <w:rsid w:val="00B75AC6"/>
    <w:rsid w:val="00B773C5"/>
    <w:rsid w:val="00B77651"/>
    <w:rsid w:val="00B8144B"/>
    <w:rsid w:val="00B81F91"/>
    <w:rsid w:val="00B839BA"/>
    <w:rsid w:val="00B8685C"/>
    <w:rsid w:val="00B86A2D"/>
    <w:rsid w:val="00B86C35"/>
    <w:rsid w:val="00B86DD8"/>
    <w:rsid w:val="00B87C14"/>
    <w:rsid w:val="00B92703"/>
    <w:rsid w:val="00B93072"/>
    <w:rsid w:val="00B94EFB"/>
    <w:rsid w:val="00B9564E"/>
    <w:rsid w:val="00B96525"/>
    <w:rsid w:val="00B974AE"/>
    <w:rsid w:val="00B97C18"/>
    <w:rsid w:val="00B97D50"/>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494"/>
    <w:rsid w:val="00BC4EF0"/>
    <w:rsid w:val="00BC6E99"/>
    <w:rsid w:val="00BC7C00"/>
    <w:rsid w:val="00BD0CA7"/>
    <w:rsid w:val="00BD1EFB"/>
    <w:rsid w:val="00BD223A"/>
    <w:rsid w:val="00BD2B9E"/>
    <w:rsid w:val="00BD57C8"/>
    <w:rsid w:val="00BD5879"/>
    <w:rsid w:val="00BD5A0C"/>
    <w:rsid w:val="00BD5A45"/>
    <w:rsid w:val="00BD5B58"/>
    <w:rsid w:val="00BD73F1"/>
    <w:rsid w:val="00BE0E15"/>
    <w:rsid w:val="00BE2683"/>
    <w:rsid w:val="00BE3711"/>
    <w:rsid w:val="00BE3D8C"/>
    <w:rsid w:val="00BE4D14"/>
    <w:rsid w:val="00BE5CF2"/>
    <w:rsid w:val="00BE72E5"/>
    <w:rsid w:val="00BF067E"/>
    <w:rsid w:val="00BF22E7"/>
    <w:rsid w:val="00BF2883"/>
    <w:rsid w:val="00BF63CC"/>
    <w:rsid w:val="00BF6A00"/>
    <w:rsid w:val="00BF6FA9"/>
    <w:rsid w:val="00BF7497"/>
    <w:rsid w:val="00BF7C90"/>
    <w:rsid w:val="00C00003"/>
    <w:rsid w:val="00C000AC"/>
    <w:rsid w:val="00C00429"/>
    <w:rsid w:val="00C00EEE"/>
    <w:rsid w:val="00C02033"/>
    <w:rsid w:val="00C05FD9"/>
    <w:rsid w:val="00C06BBC"/>
    <w:rsid w:val="00C06C54"/>
    <w:rsid w:val="00C07703"/>
    <w:rsid w:val="00C07949"/>
    <w:rsid w:val="00C105ED"/>
    <w:rsid w:val="00C109F0"/>
    <w:rsid w:val="00C11211"/>
    <w:rsid w:val="00C11925"/>
    <w:rsid w:val="00C120C1"/>
    <w:rsid w:val="00C129D7"/>
    <w:rsid w:val="00C12B50"/>
    <w:rsid w:val="00C13AC2"/>
    <w:rsid w:val="00C13E18"/>
    <w:rsid w:val="00C16BE6"/>
    <w:rsid w:val="00C20BEA"/>
    <w:rsid w:val="00C21E38"/>
    <w:rsid w:val="00C241D4"/>
    <w:rsid w:val="00C2433C"/>
    <w:rsid w:val="00C24C84"/>
    <w:rsid w:val="00C24D43"/>
    <w:rsid w:val="00C24F5B"/>
    <w:rsid w:val="00C250E8"/>
    <w:rsid w:val="00C26014"/>
    <w:rsid w:val="00C2620B"/>
    <w:rsid w:val="00C264F8"/>
    <w:rsid w:val="00C27BA5"/>
    <w:rsid w:val="00C27D23"/>
    <w:rsid w:val="00C31313"/>
    <w:rsid w:val="00C320B6"/>
    <w:rsid w:val="00C32874"/>
    <w:rsid w:val="00C33E7B"/>
    <w:rsid w:val="00C37286"/>
    <w:rsid w:val="00C405D9"/>
    <w:rsid w:val="00C41668"/>
    <w:rsid w:val="00C4206E"/>
    <w:rsid w:val="00C431FA"/>
    <w:rsid w:val="00C43488"/>
    <w:rsid w:val="00C44F7A"/>
    <w:rsid w:val="00C452D9"/>
    <w:rsid w:val="00C45666"/>
    <w:rsid w:val="00C47754"/>
    <w:rsid w:val="00C47D30"/>
    <w:rsid w:val="00C500E2"/>
    <w:rsid w:val="00C5024B"/>
    <w:rsid w:val="00C508DF"/>
    <w:rsid w:val="00C515AA"/>
    <w:rsid w:val="00C52C5B"/>
    <w:rsid w:val="00C533BD"/>
    <w:rsid w:val="00C53E56"/>
    <w:rsid w:val="00C54452"/>
    <w:rsid w:val="00C557BA"/>
    <w:rsid w:val="00C56774"/>
    <w:rsid w:val="00C5681E"/>
    <w:rsid w:val="00C5784C"/>
    <w:rsid w:val="00C600E8"/>
    <w:rsid w:val="00C62ECF"/>
    <w:rsid w:val="00C64618"/>
    <w:rsid w:val="00C66C40"/>
    <w:rsid w:val="00C67B70"/>
    <w:rsid w:val="00C70D0F"/>
    <w:rsid w:val="00C7219E"/>
    <w:rsid w:val="00C72DAA"/>
    <w:rsid w:val="00C745D1"/>
    <w:rsid w:val="00C74726"/>
    <w:rsid w:val="00C7546F"/>
    <w:rsid w:val="00C7758D"/>
    <w:rsid w:val="00C77777"/>
    <w:rsid w:val="00C82B5D"/>
    <w:rsid w:val="00C8318D"/>
    <w:rsid w:val="00C83387"/>
    <w:rsid w:val="00C8367E"/>
    <w:rsid w:val="00C83AA5"/>
    <w:rsid w:val="00C83C98"/>
    <w:rsid w:val="00C84986"/>
    <w:rsid w:val="00C8761B"/>
    <w:rsid w:val="00C8762A"/>
    <w:rsid w:val="00C913FF"/>
    <w:rsid w:val="00C941AD"/>
    <w:rsid w:val="00C9639A"/>
    <w:rsid w:val="00C97DC8"/>
    <w:rsid w:val="00CA0153"/>
    <w:rsid w:val="00CA04A9"/>
    <w:rsid w:val="00CA401C"/>
    <w:rsid w:val="00CA424D"/>
    <w:rsid w:val="00CA4CBC"/>
    <w:rsid w:val="00CA5BF5"/>
    <w:rsid w:val="00CA6175"/>
    <w:rsid w:val="00CA6DB5"/>
    <w:rsid w:val="00CA74D2"/>
    <w:rsid w:val="00CA77AC"/>
    <w:rsid w:val="00CA7C5D"/>
    <w:rsid w:val="00CB0514"/>
    <w:rsid w:val="00CB089A"/>
    <w:rsid w:val="00CB0974"/>
    <w:rsid w:val="00CB4525"/>
    <w:rsid w:val="00CB4FB7"/>
    <w:rsid w:val="00CB5434"/>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29B7"/>
    <w:rsid w:val="00CD30D0"/>
    <w:rsid w:val="00CD54A9"/>
    <w:rsid w:val="00CE124A"/>
    <w:rsid w:val="00CE2A97"/>
    <w:rsid w:val="00CE370A"/>
    <w:rsid w:val="00CE45DD"/>
    <w:rsid w:val="00CE4D2A"/>
    <w:rsid w:val="00CF0155"/>
    <w:rsid w:val="00CF15DB"/>
    <w:rsid w:val="00CF2C23"/>
    <w:rsid w:val="00CF2EC3"/>
    <w:rsid w:val="00CF3927"/>
    <w:rsid w:val="00CF39E9"/>
    <w:rsid w:val="00CF3BCD"/>
    <w:rsid w:val="00CF44B0"/>
    <w:rsid w:val="00CF4C62"/>
    <w:rsid w:val="00CF4DED"/>
    <w:rsid w:val="00CF79CE"/>
    <w:rsid w:val="00D00B5B"/>
    <w:rsid w:val="00D0206C"/>
    <w:rsid w:val="00D0502F"/>
    <w:rsid w:val="00D0697C"/>
    <w:rsid w:val="00D06A84"/>
    <w:rsid w:val="00D07F62"/>
    <w:rsid w:val="00D10B90"/>
    <w:rsid w:val="00D113F1"/>
    <w:rsid w:val="00D118DA"/>
    <w:rsid w:val="00D12387"/>
    <w:rsid w:val="00D12577"/>
    <w:rsid w:val="00D13663"/>
    <w:rsid w:val="00D13E3F"/>
    <w:rsid w:val="00D149A1"/>
    <w:rsid w:val="00D14F2A"/>
    <w:rsid w:val="00D153AC"/>
    <w:rsid w:val="00D17284"/>
    <w:rsid w:val="00D17B15"/>
    <w:rsid w:val="00D20058"/>
    <w:rsid w:val="00D20884"/>
    <w:rsid w:val="00D20D3E"/>
    <w:rsid w:val="00D22687"/>
    <w:rsid w:val="00D24EDB"/>
    <w:rsid w:val="00D251BB"/>
    <w:rsid w:val="00D256D4"/>
    <w:rsid w:val="00D25C07"/>
    <w:rsid w:val="00D260E2"/>
    <w:rsid w:val="00D26951"/>
    <w:rsid w:val="00D2779E"/>
    <w:rsid w:val="00D27FD3"/>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353F"/>
    <w:rsid w:val="00D541BE"/>
    <w:rsid w:val="00D546FB"/>
    <w:rsid w:val="00D54CB0"/>
    <w:rsid w:val="00D550D9"/>
    <w:rsid w:val="00D60AD8"/>
    <w:rsid w:val="00D6135D"/>
    <w:rsid w:val="00D61844"/>
    <w:rsid w:val="00D61AA5"/>
    <w:rsid w:val="00D652FC"/>
    <w:rsid w:val="00D6733D"/>
    <w:rsid w:val="00D71699"/>
    <w:rsid w:val="00D72B69"/>
    <w:rsid w:val="00D73493"/>
    <w:rsid w:val="00D74098"/>
    <w:rsid w:val="00D74264"/>
    <w:rsid w:val="00D749C9"/>
    <w:rsid w:val="00D74DEF"/>
    <w:rsid w:val="00D751B3"/>
    <w:rsid w:val="00D777C4"/>
    <w:rsid w:val="00D80578"/>
    <w:rsid w:val="00D8102F"/>
    <w:rsid w:val="00D81AA3"/>
    <w:rsid w:val="00D81C1F"/>
    <w:rsid w:val="00D822F6"/>
    <w:rsid w:val="00D83636"/>
    <w:rsid w:val="00D8553D"/>
    <w:rsid w:val="00D85F98"/>
    <w:rsid w:val="00D86162"/>
    <w:rsid w:val="00D86455"/>
    <w:rsid w:val="00D869C3"/>
    <w:rsid w:val="00D905D5"/>
    <w:rsid w:val="00D912FC"/>
    <w:rsid w:val="00D91AE1"/>
    <w:rsid w:val="00DA151F"/>
    <w:rsid w:val="00DA1684"/>
    <w:rsid w:val="00DA397A"/>
    <w:rsid w:val="00DA3B92"/>
    <w:rsid w:val="00DA4689"/>
    <w:rsid w:val="00DA474C"/>
    <w:rsid w:val="00DA4891"/>
    <w:rsid w:val="00DA4926"/>
    <w:rsid w:val="00DA6B7D"/>
    <w:rsid w:val="00DB02C0"/>
    <w:rsid w:val="00DB0357"/>
    <w:rsid w:val="00DB2227"/>
    <w:rsid w:val="00DB23F6"/>
    <w:rsid w:val="00DB284F"/>
    <w:rsid w:val="00DB39B4"/>
    <w:rsid w:val="00DB3E0A"/>
    <w:rsid w:val="00DB5D01"/>
    <w:rsid w:val="00DB79E4"/>
    <w:rsid w:val="00DC06A4"/>
    <w:rsid w:val="00DC0ACA"/>
    <w:rsid w:val="00DC1684"/>
    <w:rsid w:val="00DC2BF8"/>
    <w:rsid w:val="00DC3459"/>
    <w:rsid w:val="00DC3B22"/>
    <w:rsid w:val="00DD0D69"/>
    <w:rsid w:val="00DD26E3"/>
    <w:rsid w:val="00DD4EF2"/>
    <w:rsid w:val="00DD7636"/>
    <w:rsid w:val="00DE16CD"/>
    <w:rsid w:val="00DE32E5"/>
    <w:rsid w:val="00DE3605"/>
    <w:rsid w:val="00DE3946"/>
    <w:rsid w:val="00DE44DB"/>
    <w:rsid w:val="00DE4881"/>
    <w:rsid w:val="00DE4AD3"/>
    <w:rsid w:val="00DE5661"/>
    <w:rsid w:val="00DE68B4"/>
    <w:rsid w:val="00DF09B1"/>
    <w:rsid w:val="00DF14B9"/>
    <w:rsid w:val="00DF26B2"/>
    <w:rsid w:val="00DF4DDE"/>
    <w:rsid w:val="00DF5762"/>
    <w:rsid w:val="00DF73C4"/>
    <w:rsid w:val="00DF76B9"/>
    <w:rsid w:val="00E00BB7"/>
    <w:rsid w:val="00E01FF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1D6"/>
    <w:rsid w:val="00E15329"/>
    <w:rsid w:val="00E15664"/>
    <w:rsid w:val="00E15A03"/>
    <w:rsid w:val="00E167E1"/>
    <w:rsid w:val="00E21E8C"/>
    <w:rsid w:val="00E228D6"/>
    <w:rsid w:val="00E250B5"/>
    <w:rsid w:val="00E26155"/>
    <w:rsid w:val="00E2708D"/>
    <w:rsid w:val="00E270E6"/>
    <w:rsid w:val="00E2770A"/>
    <w:rsid w:val="00E33737"/>
    <w:rsid w:val="00E33CD1"/>
    <w:rsid w:val="00E36C6E"/>
    <w:rsid w:val="00E40C06"/>
    <w:rsid w:val="00E40F6F"/>
    <w:rsid w:val="00E42717"/>
    <w:rsid w:val="00E43DFA"/>
    <w:rsid w:val="00E43E30"/>
    <w:rsid w:val="00E44250"/>
    <w:rsid w:val="00E45553"/>
    <w:rsid w:val="00E4639E"/>
    <w:rsid w:val="00E47E96"/>
    <w:rsid w:val="00E510DC"/>
    <w:rsid w:val="00E53631"/>
    <w:rsid w:val="00E5420C"/>
    <w:rsid w:val="00E56339"/>
    <w:rsid w:val="00E56ECC"/>
    <w:rsid w:val="00E572EF"/>
    <w:rsid w:val="00E5762D"/>
    <w:rsid w:val="00E57FEE"/>
    <w:rsid w:val="00E629C3"/>
    <w:rsid w:val="00E63001"/>
    <w:rsid w:val="00E6536A"/>
    <w:rsid w:val="00E667B4"/>
    <w:rsid w:val="00E715FD"/>
    <w:rsid w:val="00E71601"/>
    <w:rsid w:val="00E718F8"/>
    <w:rsid w:val="00E71F11"/>
    <w:rsid w:val="00E729F5"/>
    <w:rsid w:val="00E736B3"/>
    <w:rsid w:val="00E73C8D"/>
    <w:rsid w:val="00E758D8"/>
    <w:rsid w:val="00E75C18"/>
    <w:rsid w:val="00E76BE0"/>
    <w:rsid w:val="00E76DB1"/>
    <w:rsid w:val="00E7728D"/>
    <w:rsid w:val="00E7795C"/>
    <w:rsid w:val="00E77F48"/>
    <w:rsid w:val="00E80B69"/>
    <w:rsid w:val="00E83C37"/>
    <w:rsid w:val="00E87B8E"/>
    <w:rsid w:val="00E900D1"/>
    <w:rsid w:val="00E90673"/>
    <w:rsid w:val="00E92149"/>
    <w:rsid w:val="00E92613"/>
    <w:rsid w:val="00E926EA"/>
    <w:rsid w:val="00E930E1"/>
    <w:rsid w:val="00E932CE"/>
    <w:rsid w:val="00E9330B"/>
    <w:rsid w:val="00E937F2"/>
    <w:rsid w:val="00E96BC6"/>
    <w:rsid w:val="00E96D3E"/>
    <w:rsid w:val="00E976C6"/>
    <w:rsid w:val="00EA00F3"/>
    <w:rsid w:val="00EA07A3"/>
    <w:rsid w:val="00EA0FFB"/>
    <w:rsid w:val="00EA1938"/>
    <w:rsid w:val="00EA1DF8"/>
    <w:rsid w:val="00EA2155"/>
    <w:rsid w:val="00EA3A4B"/>
    <w:rsid w:val="00EA4F03"/>
    <w:rsid w:val="00EA6C48"/>
    <w:rsid w:val="00EA71E1"/>
    <w:rsid w:val="00EB0107"/>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3AF2"/>
    <w:rsid w:val="00ED4242"/>
    <w:rsid w:val="00ED42A3"/>
    <w:rsid w:val="00ED4755"/>
    <w:rsid w:val="00ED584C"/>
    <w:rsid w:val="00ED7431"/>
    <w:rsid w:val="00EE0519"/>
    <w:rsid w:val="00EE2179"/>
    <w:rsid w:val="00EE2381"/>
    <w:rsid w:val="00EE3BFD"/>
    <w:rsid w:val="00EE5A58"/>
    <w:rsid w:val="00EE64AA"/>
    <w:rsid w:val="00EE77EC"/>
    <w:rsid w:val="00EF0CFD"/>
    <w:rsid w:val="00EF0E9B"/>
    <w:rsid w:val="00EF1BA6"/>
    <w:rsid w:val="00EF3AB4"/>
    <w:rsid w:val="00EF4866"/>
    <w:rsid w:val="00EF6708"/>
    <w:rsid w:val="00EF6DD7"/>
    <w:rsid w:val="00EF754F"/>
    <w:rsid w:val="00F004E9"/>
    <w:rsid w:val="00F010EE"/>
    <w:rsid w:val="00F02332"/>
    <w:rsid w:val="00F0467A"/>
    <w:rsid w:val="00F0649C"/>
    <w:rsid w:val="00F07952"/>
    <w:rsid w:val="00F10AC6"/>
    <w:rsid w:val="00F20E61"/>
    <w:rsid w:val="00F2303B"/>
    <w:rsid w:val="00F23656"/>
    <w:rsid w:val="00F238B5"/>
    <w:rsid w:val="00F257D4"/>
    <w:rsid w:val="00F25A44"/>
    <w:rsid w:val="00F25F45"/>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3303"/>
    <w:rsid w:val="00F5444B"/>
    <w:rsid w:val="00F608C1"/>
    <w:rsid w:val="00F60A53"/>
    <w:rsid w:val="00F60E69"/>
    <w:rsid w:val="00F61230"/>
    <w:rsid w:val="00F62F45"/>
    <w:rsid w:val="00F6309B"/>
    <w:rsid w:val="00F64615"/>
    <w:rsid w:val="00F65669"/>
    <w:rsid w:val="00F659BB"/>
    <w:rsid w:val="00F65E67"/>
    <w:rsid w:val="00F701B3"/>
    <w:rsid w:val="00F7123B"/>
    <w:rsid w:val="00F71993"/>
    <w:rsid w:val="00F72BBB"/>
    <w:rsid w:val="00F735E8"/>
    <w:rsid w:val="00F739F2"/>
    <w:rsid w:val="00F73CCF"/>
    <w:rsid w:val="00F74FE5"/>
    <w:rsid w:val="00F750B6"/>
    <w:rsid w:val="00F76B07"/>
    <w:rsid w:val="00F80AE3"/>
    <w:rsid w:val="00F8360A"/>
    <w:rsid w:val="00F83B96"/>
    <w:rsid w:val="00F849DF"/>
    <w:rsid w:val="00F8600D"/>
    <w:rsid w:val="00F8786B"/>
    <w:rsid w:val="00F90530"/>
    <w:rsid w:val="00F91D8A"/>
    <w:rsid w:val="00F93915"/>
    <w:rsid w:val="00F94304"/>
    <w:rsid w:val="00F9437B"/>
    <w:rsid w:val="00F943F5"/>
    <w:rsid w:val="00F94501"/>
    <w:rsid w:val="00F94AF9"/>
    <w:rsid w:val="00F94F1B"/>
    <w:rsid w:val="00F957AF"/>
    <w:rsid w:val="00F96174"/>
    <w:rsid w:val="00FA08E4"/>
    <w:rsid w:val="00FA1A11"/>
    <w:rsid w:val="00FA2515"/>
    <w:rsid w:val="00FA269B"/>
    <w:rsid w:val="00FA340A"/>
    <w:rsid w:val="00FA4F9B"/>
    <w:rsid w:val="00FA5DAA"/>
    <w:rsid w:val="00FA6B10"/>
    <w:rsid w:val="00FA710D"/>
    <w:rsid w:val="00FB0D18"/>
    <w:rsid w:val="00FB0D71"/>
    <w:rsid w:val="00FB1517"/>
    <w:rsid w:val="00FB390F"/>
    <w:rsid w:val="00FB4712"/>
    <w:rsid w:val="00FB4E49"/>
    <w:rsid w:val="00FB582F"/>
    <w:rsid w:val="00FB63B1"/>
    <w:rsid w:val="00FB6B5D"/>
    <w:rsid w:val="00FC082C"/>
    <w:rsid w:val="00FC12D1"/>
    <w:rsid w:val="00FC2426"/>
    <w:rsid w:val="00FC3210"/>
    <w:rsid w:val="00FC3827"/>
    <w:rsid w:val="00FC3AF0"/>
    <w:rsid w:val="00FC3BFD"/>
    <w:rsid w:val="00FC4B9F"/>
    <w:rsid w:val="00FC4DD0"/>
    <w:rsid w:val="00FC6110"/>
    <w:rsid w:val="00FC6196"/>
    <w:rsid w:val="00FC654F"/>
    <w:rsid w:val="00FC77AF"/>
    <w:rsid w:val="00FC79C6"/>
    <w:rsid w:val="00FD00C2"/>
    <w:rsid w:val="00FD0991"/>
    <w:rsid w:val="00FD1226"/>
    <w:rsid w:val="00FD4FDA"/>
    <w:rsid w:val="00FD620B"/>
    <w:rsid w:val="00FD6B02"/>
    <w:rsid w:val="00FE0037"/>
    <w:rsid w:val="00FE0B7F"/>
    <w:rsid w:val="00FE0F32"/>
    <w:rsid w:val="00FE11DF"/>
    <w:rsid w:val="00FE2E9C"/>
    <w:rsid w:val="00FE4EFF"/>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F9A09A"/>
  <w15:docId w15:val="{07CD536A-1E75-4B16-8266-A39025BD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link w:val="TextpoznpodarouChar"/>
    <w:uiPriority w:val="99"/>
    <w:semiHidden/>
    <w:rsid w:val="004202CB"/>
  </w:style>
  <w:style w:type="character" w:styleId="Znakapoznpodarou">
    <w:name w:val="footnote reference"/>
    <w:uiPriority w:val="99"/>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customStyle="1" w:styleId="Nevyeenzmnka3">
    <w:name w:val="Nevyřešená zmínka3"/>
    <w:basedOn w:val="Standardnpsmoodstavce"/>
    <w:uiPriority w:val="99"/>
    <w:semiHidden/>
    <w:unhideWhenUsed/>
    <w:rsid w:val="00AB759C"/>
    <w:rPr>
      <w:color w:val="605E5C"/>
      <w:shd w:val="clear" w:color="auto" w:fill="E1DFDD"/>
    </w:rPr>
  </w:style>
  <w:style w:type="character" w:customStyle="1" w:styleId="TextpoznpodarouChar">
    <w:name w:val="Text pozn. pod čarou Char"/>
    <w:basedOn w:val="Standardnpsmoodstavce"/>
    <w:link w:val="Textpoznpodarou"/>
    <w:uiPriority w:val="99"/>
    <w:semiHidden/>
    <w:rsid w:val="00EF3AB4"/>
    <w:rPr>
      <w:rFonts w:ascii="Arial" w:hAnsi="Arial" w:cs="Arial"/>
      <w:sz w:val="16"/>
      <w:szCs w:val="16"/>
    </w:rPr>
  </w:style>
  <w:style w:type="character" w:customStyle="1" w:styleId="cf01">
    <w:name w:val="cf01"/>
    <w:basedOn w:val="Standardnpsmoodstavce"/>
    <w:rsid w:val="00EF3AB4"/>
    <w:rPr>
      <w:rFonts w:ascii="Segoe UI" w:hAnsi="Segoe UI" w:cs="Segoe UI" w:hint="default"/>
      <w:sz w:val="18"/>
      <w:szCs w:val="18"/>
    </w:rPr>
  </w:style>
  <w:style w:type="character" w:styleId="Nevyeenzmnka">
    <w:name w:val="Unresolved Mention"/>
    <w:basedOn w:val="Standardnpsmoodstavce"/>
    <w:uiPriority w:val="99"/>
    <w:semiHidden/>
    <w:unhideWhenUsed/>
    <w:rsid w:val="00884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17335800">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171918904">
      <w:bodyDiv w:val="1"/>
      <w:marLeft w:val="0"/>
      <w:marRight w:val="0"/>
      <w:marTop w:val="0"/>
      <w:marBottom w:val="0"/>
      <w:divBdr>
        <w:top w:val="none" w:sz="0" w:space="0" w:color="auto"/>
        <w:left w:val="none" w:sz="0" w:space="0" w:color="auto"/>
        <w:bottom w:val="none" w:sz="0" w:space="0" w:color="auto"/>
        <w:right w:val="none" w:sz="0" w:space="0" w:color="auto"/>
      </w:divBdr>
    </w:div>
    <w:div w:id="196479142">
      <w:bodyDiv w:val="1"/>
      <w:marLeft w:val="0"/>
      <w:marRight w:val="0"/>
      <w:marTop w:val="0"/>
      <w:marBottom w:val="0"/>
      <w:divBdr>
        <w:top w:val="none" w:sz="0" w:space="0" w:color="auto"/>
        <w:left w:val="none" w:sz="0" w:space="0" w:color="auto"/>
        <w:bottom w:val="none" w:sz="0" w:space="0" w:color="auto"/>
        <w:right w:val="none" w:sz="0" w:space="0" w:color="auto"/>
      </w:divBdr>
    </w:div>
    <w:div w:id="198670851">
      <w:bodyDiv w:val="1"/>
      <w:marLeft w:val="0"/>
      <w:marRight w:val="0"/>
      <w:marTop w:val="0"/>
      <w:marBottom w:val="0"/>
      <w:divBdr>
        <w:top w:val="none" w:sz="0" w:space="0" w:color="auto"/>
        <w:left w:val="none" w:sz="0" w:space="0" w:color="auto"/>
        <w:bottom w:val="none" w:sz="0" w:space="0" w:color="auto"/>
        <w:right w:val="none" w:sz="0" w:space="0" w:color="auto"/>
      </w:divBdr>
    </w:div>
    <w:div w:id="226259287">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1783882">
      <w:bodyDiv w:val="1"/>
      <w:marLeft w:val="0"/>
      <w:marRight w:val="0"/>
      <w:marTop w:val="0"/>
      <w:marBottom w:val="0"/>
      <w:divBdr>
        <w:top w:val="none" w:sz="0" w:space="0" w:color="auto"/>
        <w:left w:val="none" w:sz="0" w:space="0" w:color="auto"/>
        <w:bottom w:val="none" w:sz="0" w:space="0" w:color="auto"/>
        <w:right w:val="none" w:sz="0" w:space="0" w:color="auto"/>
      </w:divBdr>
    </w:div>
    <w:div w:id="346177067">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358316845">
      <w:bodyDiv w:val="1"/>
      <w:marLeft w:val="0"/>
      <w:marRight w:val="0"/>
      <w:marTop w:val="0"/>
      <w:marBottom w:val="0"/>
      <w:divBdr>
        <w:top w:val="none" w:sz="0" w:space="0" w:color="auto"/>
        <w:left w:val="none" w:sz="0" w:space="0" w:color="auto"/>
        <w:bottom w:val="none" w:sz="0" w:space="0" w:color="auto"/>
        <w:right w:val="none" w:sz="0" w:space="0" w:color="auto"/>
      </w:divBdr>
    </w:div>
    <w:div w:id="399639357">
      <w:bodyDiv w:val="1"/>
      <w:marLeft w:val="0"/>
      <w:marRight w:val="0"/>
      <w:marTop w:val="0"/>
      <w:marBottom w:val="0"/>
      <w:divBdr>
        <w:top w:val="none" w:sz="0" w:space="0" w:color="auto"/>
        <w:left w:val="none" w:sz="0" w:space="0" w:color="auto"/>
        <w:bottom w:val="none" w:sz="0" w:space="0" w:color="auto"/>
        <w:right w:val="none" w:sz="0" w:space="0" w:color="auto"/>
      </w:divBdr>
    </w:div>
    <w:div w:id="410666629">
      <w:bodyDiv w:val="1"/>
      <w:marLeft w:val="0"/>
      <w:marRight w:val="0"/>
      <w:marTop w:val="0"/>
      <w:marBottom w:val="0"/>
      <w:divBdr>
        <w:top w:val="none" w:sz="0" w:space="0" w:color="auto"/>
        <w:left w:val="none" w:sz="0" w:space="0" w:color="auto"/>
        <w:bottom w:val="none" w:sz="0" w:space="0" w:color="auto"/>
        <w:right w:val="none" w:sz="0" w:space="0" w:color="auto"/>
      </w:divBdr>
    </w:div>
    <w:div w:id="418914697">
      <w:bodyDiv w:val="1"/>
      <w:marLeft w:val="0"/>
      <w:marRight w:val="0"/>
      <w:marTop w:val="0"/>
      <w:marBottom w:val="0"/>
      <w:divBdr>
        <w:top w:val="none" w:sz="0" w:space="0" w:color="auto"/>
        <w:left w:val="none" w:sz="0" w:space="0" w:color="auto"/>
        <w:bottom w:val="none" w:sz="0" w:space="0" w:color="auto"/>
        <w:right w:val="none" w:sz="0" w:space="0" w:color="auto"/>
      </w:divBdr>
    </w:div>
    <w:div w:id="446317804">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496727072">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565262955">
      <w:bodyDiv w:val="1"/>
      <w:marLeft w:val="0"/>
      <w:marRight w:val="0"/>
      <w:marTop w:val="0"/>
      <w:marBottom w:val="0"/>
      <w:divBdr>
        <w:top w:val="none" w:sz="0" w:space="0" w:color="auto"/>
        <w:left w:val="none" w:sz="0" w:space="0" w:color="auto"/>
        <w:bottom w:val="none" w:sz="0" w:space="0" w:color="auto"/>
        <w:right w:val="none" w:sz="0" w:space="0" w:color="auto"/>
      </w:divBdr>
    </w:div>
    <w:div w:id="586184741">
      <w:bodyDiv w:val="1"/>
      <w:marLeft w:val="0"/>
      <w:marRight w:val="0"/>
      <w:marTop w:val="0"/>
      <w:marBottom w:val="0"/>
      <w:divBdr>
        <w:top w:val="none" w:sz="0" w:space="0" w:color="auto"/>
        <w:left w:val="none" w:sz="0" w:space="0" w:color="auto"/>
        <w:bottom w:val="none" w:sz="0" w:space="0" w:color="auto"/>
        <w:right w:val="none" w:sz="0" w:space="0" w:color="auto"/>
      </w:divBdr>
    </w:div>
    <w:div w:id="589004206">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777919185">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842860217">
      <w:bodyDiv w:val="1"/>
      <w:marLeft w:val="0"/>
      <w:marRight w:val="0"/>
      <w:marTop w:val="0"/>
      <w:marBottom w:val="0"/>
      <w:divBdr>
        <w:top w:val="none" w:sz="0" w:space="0" w:color="auto"/>
        <w:left w:val="none" w:sz="0" w:space="0" w:color="auto"/>
        <w:bottom w:val="none" w:sz="0" w:space="0" w:color="auto"/>
        <w:right w:val="none" w:sz="0" w:space="0" w:color="auto"/>
      </w:divBdr>
    </w:div>
    <w:div w:id="854265581">
      <w:bodyDiv w:val="1"/>
      <w:marLeft w:val="0"/>
      <w:marRight w:val="0"/>
      <w:marTop w:val="0"/>
      <w:marBottom w:val="0"/>
      <w:divBdr>
        <w:top w:val="none" w:sz="0" w:space="0" w:color="auto"/>
        <w:left w:val="none" w:sz="0" w:space="0" w:color="auto"/>
        <w:bottom w:val="none" w:sz="0" w:space="0" w:color="auto"/>
        <w:right w:val="none" w:sz="0" w:space="0" w:color="auto"/>
      </w:divBdr>
    </w:div>
    <w:div w:id="879131442">
      <w:bodyDiv w:val="1"/>
      <w:marLeft w:val="0"/>
      <w:marRight w:val="0"/>
      <w:marTop w:val="0"/>
      <w:marBottom w:val="0"/>
      <w:divBdr>
        <w:top w:val="none" w:sz="0" w:space="0" w:color="auto"/>
        <w:left w:val="none" w:sz="0" w:space="0" w:color="auto"/>
        <w:bottom w:val="none" w:sz="0" w:space="0" w:color="auto"/>
        <w:right w:val="none" w:sz="0" w:space="0" w:color="auto"/>
      </w:divBdr>
    </w:div>
    <w:div w:id="89354516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940525266">
      <w:bodyDiv w:val="1"/>
      <w:marLeft w:val="0"/>
      <w:marRight w:val="0"/>
      <w:marTop w:val="0"/>
      <w:marBottom w:val="0"/>
      <w:divBdr>
        <w:top w:val="none" w:sz="0" w:space="0" w:color="auto"/>
        <w:left w:val="none" w:sz="0" w:space="0" w:color="auto"/>
        <w:bottom w:val="none" w:sz="0" w:space="0" w:color="auto"/>
        <w:right w:val="none" w:sz="0" w:space="0" w:color="auto"/>
      </w:divBdr>
    </w:div>
    <w:div w:id="954479567">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08564044">
      <w:bodyDiv w:val="1"/>
      <w:marLeft w:val="0"/>
      <w:marRight w:val="0"/>
      <w:marTop w:val="0"/>
      <w:marBottom w:val="0"/>
      <w:divBdr>
        <w:top w:val="none" w:sz="0" w:space="0" w:color="auto"/>
        <w:left w:val="none" w:sz="0" w:space="0" w:color="auto"/>
        <w:bottom w:val="none" w:sz="0" w:space="0" w:color="auto"/>
        <w:right w:val="none" w:sz="0" w:space="0" w:color="auto"/>
      </w:divBdr>
    </w:div>
    <w:div w:id="1019311681">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381453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41921708">
      <w:bodyDiv w:val="1"/>
      <w:marLeft w:val="0"/>
      <w:marRight w:val="0"/>
      <w:marTop w:val="0"/>
      <w:marBottom w:val="0"/>
      <w:divBdr>
        <w:top w:val="none" w:sz="0" w:space="0" w:color="auto"/>
        <w:left w:val="none" w:sz="0" w:space="0" w:color="auto"/>
        <w:bottom w:val="none" w:sz="0" w:space="0" w:color="auto"/>
        <w:right w:val="none" w:sz="0" w:space="0" w:color="auto"/>
      </w:divBdr>
    </w:div>
    <w:div w:id="1177961262">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24832783">
      <w:bodyDiv w:val="1"/>
      <w:marLeft w:val="0"/>
      <w:marRight w:val="0"/>
      <w:marTop w:val="0"/>
      <w:marBottom w:val="0"/>
      <w:divBdr>
        <w:top w:val="none" w:sz="0" w:space="0" w:color="auto"/>
        <w:left w:val="none" w:sz="0" w:space="0" w:color="auto"/>
        <w:bottom w:val="none" w:sz="0" w:space="0" w:color="auto"/>
        <w:right w:val="none" w:sz="0" w:space="0" w:color="auto"/>
      </w:divBdr>
    </w:div>
    <w:div w:id="1241478248">
      <w:bodyDiv w:val="1"/>
      <w:marLeft w:val="0"/>
      <w:marRight w:val="0"/>
      <w:marTop w:val="0"/>
      <w:marBottom w:val="0"/>
      <w:divBdr>
        <w:top w:val="none" w:sz="0" w:space="0" w:color="auto"/>
        <w:left w:val="none" w:sz="0" w:space="0" w:color="auto"/>
        <w:bottom w:val="none" w:sz="0" w:space="0" w:color="auto"/>
        <w:right w:val="none" w:sz="0" w:space="0" w:color="auto"/>
      </w:divBdr>
    </w:div>
    <w:div w:id="1244293417">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379933602">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429278834">
      <w:bodyDiv w:val="1"/>
      <w:marLeft w:val="0"/>
      <w:marRight w:val="0"/>
      <w:marTop w:val="0"/>
      <w:marBottom w:val="0"/>
      <w:divBdr>
        <w:top w:val="none" w:sz="0" w:space="0" w:color="auto"/>
        <w:left w:val="none" w:sz="0" w:space="0" w:color="auto"/>
        <w:bottom w:val="none" w:sz="0" w:space="0" w:color="auto"/>
        <w:right w:val="none" w:sz="0" w:space="0" w:color="auto"/>
      </w:divBdr>
    </w:div>
    <w:div w:id="1480539859">
      <w:bodyDiv w:val="1"/>
      <w:marLeft w:val="0"/>
      <w:marRight w:val="0"/>
      <w:marTop w:val="0"/>
      <w:marBottom w:val="0"/>
      <w:divBdr>
        <w:top w:val="none" w:sz="0" w:space="0" w:color="auto"/>
        <w:left w:val="none" w:sz="0" w:space="0" w:color="auto"/>
        <w:bottom w:val="none" w:sz="0" w:space="0" w:color="auto"/>
        <w:right w:val="none" w:sz="0" w:space="0" w:color="auto"/>
      </w:divBdr>
    </w:div>
    <w:div w:id="1498110780">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3885199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57813925">
      <w:bodyDiv w:val="1"/>
      <w:marLeft w:val="0"/>
      <w:marRight w:val="0"/>
      <w:marTop w:val="0"/>
      <w:marBottom w:val="0"/>
      <w:divBdr>
        <w:top w:val="none" w:sz="0" w:space="0" w:color="auto"/>
        <w:left w:val="none" w:sz="0" w:space="0" w:color="auto"/>
        <w:bottom w:val="none" w:sz="0" w:space="0" w:color="auto"/>
        <w:right w:val="none" w:sz="0" w:space="0" w:color="auto"/>
      </w:divBdr>
    </w:div>
    <w:div w:id="1559055571">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579514735">
      <w:bodyDiv w:val="1"/>
      <w:marLeft w:val="0"/>
      <w:marRight w:val="0"/>
      <w:marTop w:val="0"/>
      <w:marBottom w:val="0"/>
      <w:divBdr>
        <w:top w:val="none" w:sz="0" w:space="0" w:color="auto"/>
        <w:left w:val="none" w:sz="0" w:space="0" w:color="auto"/>
        <w:bottom w:val="none" w:sz="0" w:space="0" w:color="auto"/>
        <w:right w:val="none" w:sz="0" w:space="0" w:color="auto"/>
      </w:divBdr>
    </w:div>
    <w:div w:id="1602956671">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27538167">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54723787">
      <w:bodyDiv w:val="1"/>
      <w:marLeft w:val="0"/>
      <w:marRight w:val="0"/>
      <w:marTop w:val="0"/>
      <w:marBottom w:val="0"/>
      <w:divBdr>
        <w:top w:val="none" w:sz="0" w:space="0" w:color="auto"/>
        <w:left w:val="none" w:sz="0" w:space="0" w:color="auto"/>
        <w:bottom w:val="none" w:sz="0" w:space="0" w:color="auto"/>
        <w:right w:val="none" w:sz="0" w:space="0" w:color="auto"/>
      </w:divBdr>
    </w:div>
    <w:div w:id="1661807498">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699963627">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79596684">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5440912">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27430534">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12883051">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88046704">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18654197">
      <w:bodyDiv w:val="1"/>
      <w:marLeft w:val="0"/>
      <w:marRight w:val="0"/>
      <w:marTop w:val="0"/>
      <w:marBottom w:val="0"/>
      <w:divBdr>
        <w:top w:val="none" w:sz="0" w:space="0" w:color="auto"/>
        <w:left w:val="none" w:sz="0" w:space="0" w:color="auto"/>
        <w:bottom w:val="none" w:sz="0" w:space="0" w:color="auto"/>
        <w:right w:val="none" w:sz="0" w:space="0" w:color="auto"/>
      </w:divBdr>
    </w:div>
    <w:div w:id="203923250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72344327">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099010958">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09425309">
      <w:bodyDiv w:val="1"/>
      <w:marLeft w:val="0"/>
      <w:marRight w:val="0"/>
      <w:marTop w:val="0"/>
      <w:marBottom w:val="0"/>
      <w:divBdr>
        <w:top w:val="none" w:sz="0" w:space="0" w:color="auto"/>
        <w:left w:val="none" w:sz="0" w:space="0" w:color="auto"/>
        <w:bottom w:val="none" w:sz="0" w:space="0" w:color="auto"/>
        <w:right w:val="none" w:sz="0" w:space="0" w:color="auto"/>
      </w:divBdr>
    </w:div>
    <w:div w:id="212175580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liska.krohova@crestcom.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fidelity.cz/articles/fondy-v-centru-pozornosti/2023-11-21-fidelity-funds-absolute-return-global-equity-fund-1700570420803"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Props1.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3F1069-DFF9-4822-8ACC-59BB7CBADAA3}">
  <ds:schemaRefs>
    <ds:schemaRef ds:uri="http://schemas.openxmlformats.org/officeDocument/2006/bibliography"/>
  </ds:schemaRefs>
</ds:datastoreItem>
</file>

<file path=customXml/itemProps3.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4.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1778</Words>
  <Characters>10495</Characters>
  <Application>Microsoft Office Word</Application>
  <DocSecurity>0</DocSecurity>
  <Lines>87</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12249</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2025-08-29T09:30:00Z</dcterms:created>
  <dcterms:modified xsi:type="dcterms:W3CDTF">2025-08-29T09:30:00Z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